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13.11.2013 N 1013</w:t>
              <w:br/>
              <w:t xml:space="preserve">(ред. от 17.07.2024)</w:t>
              <w:br/>
              <w:t xml:space="preserve">"О техническом осмотре самоходных машин и других видов техники"</w:t>
              <w:br/>
              <w:t xml:space="preserve">(вместе с "Правилами проведения технического осмотра самоходных машин и других видов техники")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05.08.2025</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13 ноября 2013 г. N 1013</w:t>
      </w:r>
    </w:p>
    <w:p>
      <w:pPr>
        <w:pStyle w:val="2"/>
        <w:jc w:val="center"/>
      </w:pPr>
      <w:r>
        <w:rPr>
          <w:sz w:val="24"/>
        </w:rPr>
      </w:r>
    </w:p>
    <w:p>
      <w:pPr>
        <w:pStyle w:val="2"/>
        <w:jc w:val="center"/>
      </w:pPr>
      <w:r>
        <w:rPr>
          <w:sz w:val="24"/>
        </w:rPr>
        <w:t xml:space="preserve">О ТЕХНИЧЕСКОМ ОСМОТРЕ</w:t>
      </w:r>
    </w:p>
    <w:p>
      <w:pPr>
        <w:pStyle w:val="2"/>
        <w:jc w:val="center"/>
      </w:pPr>
      <w:r>
        <w:rPr>
          <w:sz w:val="24"/>
        </w:rPr>
        <w:t xml:space="preserve">САМОХОДНЫХ МАШИН И ДРУГИХ 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26.04.2020 </w:t>
            </w:r>
            <w:hyperlink w:history="0" r:id="rId7" w:tooltip="Постановление Правительства РФ от 26.04.2020 N 594 (ред. от 21.09.2020) &quot;О внесении изменений в некоторые акты Правительства Российской Федерации по вопросу управления самоходными машинами&quot; {КонсультантПлюс}">
              <w:r>
                <w:rPr>
                  <w:sz w:val="24"/>
                  <w:color w:val="0000ff"/>
                </w:rPr>
                <w:t xml:space="preserve">N 594</w:t>
              </w:r>
            </w:hyperlink>
            <w:r>
              <w:rPr>
                <w:sz w:val="24"/>
                <w:color w:val="392c69"/>
              </w:rPr>
              <w:t xml:space="preserve">,</w:t>
            </w:r>
          </w:p>
          <w:p>
            <w:pPr>
              <w:pStyle w:val="0"/>
              <w:jc w:val="center"/>
            </w:pPr>
            <w:r>
              <w:rPr>
                <w:sz w:val="24"/>
                <w:color w:val="392c69"/>
              </w:rPr>
              <w:t xml:space="preserve">от 23.09.2020 </w:t>
            </w:r>
            <w:hyperlink w:history="0" r:id="rId8"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N 1538</w:t>
              </w:r>
            </w:hyperlink>
            <w:r>
              <w:rPr>
                <w:sz w:val="24"/>
                <w:color w:val="392c69"/>
              </w:rPr>
              <w:t xml:space="preserve">, от 26.10.2020 </w:t>
            </w:r>
            <w:hyperlink w:history="0" r:id="rId9" w:tooltip="Постановление Правительства РФ от 26.10.2020 N 1742 (ред. от 26.02.2022) &quot;О признании утратившими силу актов и отдельных положений актов Правительства Российской Федерации, об отмене некоторых актов и отдельных положений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дарственного контроля (надзора) в области трансп {КонсультантПлюс}">
              <w:r>
                <w:rPr>
                  <w:sz w:val="24"/>
                  <w:color w:val="0000ff"/>
                </w:rPr>
                <w:t xml:space="preserve">N 1742</w:t>
              </w:r>
            </w:hyperlink>
            <w:r>
              <w:rPr>
                <w:sz w:val="24"/>
                <w:color w:val="392c69"/>
              </w:rPr>
              <w:t xml:space="preserve">, от 17.07.2024 </w:t>
            </w:r>
            <w:hyperlink w:history="0" r:id="rId10"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со </w:t>
      </w:r>
      <w:hyperlink w:history="0" r:id="rId11"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sz w:val="24"/>
            <w:color w:val="0000ff"/>
          </w:rPr>
          <w:t xml:space="preserve">статьей 2</w:t>
        </w:r>
      </w:hyperlink>
      <w:r>
        <w:rPr>
          <w:sz w:val="24"/>
        </w:rPr>
        <w:t xml:space="preserve"> Федерального закона "О техническом осмотре транспортных средств и о внесении изменений в отдельные законодательные акты Российской Федерации"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w:t>
      </w:r>
    </w:p>
    <w:p>
      <w:pPr>
        <w:pStyle w:val="0"/>
        <w:spacing w:before="240" w:line-rule="auto"/>
        <w:ind w:firstLine="540"/>
        <w:jc w:val="both"/>
      </w:pPr>
      <w:hyperlink w:history="0" w:anchor="P37" w:tooltip="ПРАВИЛА">
        <w:r>
          <w:rPr>
            <w:sz w:val="24"/>
            <w:color w:val="0000ff"/>
          </w:rPr>
          <w:t xml:space="preserve">Правила</w:t>
        </w:r>
      </w:hyperlink>
      <w:r>
        <w:rPr>
          <w:sz w:val="24"/>
        </w:rPr>
        <w:t xml:space="preserve"> проведения технического осмотра самоходных машин и других видов техники;</w:t>
      </w:r>
    </w:p>
    <w:p>
      <w:pPr>
        <w:pStyle w:val="0"/>
        <w:jc w:val="both"/>
      </w:pPr>
      <w:r>
        <w:rPr>
          <w:sz w:val="24"/>
        </w:rPr>
        <w:t xml:space="preserve">(в ред. </w:t>
      </w:r>
      <w:hyperlink w:history="0" r:id="rId12"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hyperlink w:history="0" w:anchor="P495" w:tooltip="ИЗМЕНЕНИЯ,">
        <w:r>
          <w:rPr>
            <w:sz w:val="24"/>
            <w:color w:val="0000ff"/>
          </w:rPr>
          <w:t xml:space="preserve">изменения</w:t>
        </w:r>
      </w:hyperlink>
      <w:r>
        <w:rPr>
          <w:sz w:val="24"/>
        </w:rPr>
        <w:t xml:space="preserve">, которые вносятся в акты Правительства Российской Федерации.</w:t>
      </w:r>
    </w:p>
    <w:p>
      <w:pPr>
        <w:pStyle w:val="0"/>
        <w:spacing w:before="240" w:line-rule="auto"/>
        <w:ind w:firstLine="540"/>
        <w:jc w:val="both"/>
      </w:pPr>
      <w:r>
        <w:rPr>
          <w:sz w:val="24"/>
        </w:rPr>
        <w:t xml:space="preserve">2. Утратил силу. - </w:t>
      </w:r>
      <w:hyperlink w:history="0" r:id="rId13"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Постановление</w:t>
        </w:r>
      </w:hyperlink>
      <w:r>
        <w:rPr>
          <w:sz w:val="24"/>
        </w:rPr>
        <w:t xml:space="preserve"> Правительства РФ от 23.09.2020 N 1538.</w:t>
      </w:r>
    </w:p>
    <w:p>
      <w:pPr>
        <w:pStyle w:val="0"/>
        <w:spacing w:before="240" w:line-rule="auto"/>
        <w:ind w:firstLine="540"/>
        <w:jc w:val="both"/>
      </w:pPr>
      <w:r>
        <w:rPr>
          <w:sz w:val="24"/>
        </w:rPr>
        <w:t xml:space="preserve">3. Признать утратившими силу:</w:t>
      </w:r>
    </w:p>
    <w:p>
      <w:pPr>
        <w:pStyle w:val="0"/>
        <w:spacing w:before="240" w:line-rule="auto"/>
        <w:ind w:firstLine="540"/>
        <w:jc w:val="both"/>
      </w:pPr>
      <w:hyperlink w:history="0" r:id="rId14" w:tooltip="Постановление Правительства РФ от 19.02.2002 N 117 (ред. от 07.05.2003) &quot;О Порядке проведения государственного технического осмотра тракторов, самоходных дорожно-строительных и иных машин и прицепов к ним, зарегистрированных органами государственного надзора за техническим состоянием самоходных машин и других видов техники в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19 февраля 2002 г. N 117 "О порядке проведения государственного технического осмотра тракторов, самоходных дорожно-строительных и иных машин и прицепов к ним, зарегистрированных органами государственного надзора за техническим состоянием самоходных машин и других видов техники в Российской Федерации" (Собрание законодательства Российской Федерации, 2002, N 8, ст. 846);</w:t>
      </w:r>
    </w:p>
    <w:p>
      <w:pPr>
        <w:pStyle w:val="0"/>
        <w:spacing w:before="240" w:line-rule="auto"/>
        <w:ind w:firstLine="540"/>
        <w:jc w:val="both"/>
      </w:pPr>
      <w:hyperlink w:history="0" r:id="rId15" w:tooltip="Постановление Правительства РФ от 07.05.2003 N 265 (ред. от 05.12.2011)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Недействующая редакция {КонсультантПлюс}">
        <w:r>
          <w:rPr>
            <w:sz w:val="24"/>
            <w:color w:val="0000ff"/>
          </w:rPr>
          <w:t xml:space="preserve">пункт 5</w:t>
        </w:r>
      </w:hyperlink>
      <w:r>
        <w:rPr>
          <w:sz w:val="24"/>
        </w:rPr>
        <w:t xml:space="preserve"> изменений и дополнений, которые вносятся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 утвержденных постановлением Правительства Российской Федерации от 7 мая 2003 г. N 265 "О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 (Собрание законодательства Российской Федерации, 2003, N 20, ст. 1899).</w:t>
      </w:r>
    </w:p>
    <w:p>
      <w:pPr>
        <w:pStyle w:val="0"/>
        <w:spacing w:before="240" w:line-rule="auto"/>
        <w:ind w:firstLine="540"/>
        <w:jc w:val="both"/>
      </w:pPr>
      <w:r>
        <w:rPr>
          <w:sz w:val="24"/>
        </w:rPr>
        <w:t xml:space="preserve">4. Установить, что документы о прохождении государственного технического осмотра, выданные в отношении тракторов, самоходных дорожно-строительных и иных машин, которые имеют двигатель внутреннего сгорания объемом более 50 куб. сантиметров или электродвигатель максимальной мощностью более 4 киловатт, прицепов к ним и которые зарегистрированы органами, осуществляющими государственный надзор за техническим состоянием самоходных машин и других видов техники, до вступления в силу настоящего постановления, действительны до окончания указанного в них срока действия.</w:t>
      </w:r>
    </w:p>
    <w:p>
      <w:pPr>
        <w:pStyle w:val="0"/>
        <w:spacing w:before="240" w:line-rule="auto"/>
        <w:ind w:firstLine="540"/>
        <w:jc w:val="both"/>
      </w:pPr>
      <w:r>
        <w:rPr>
          <w:sz w:val="24"/>
        </w:rPr>
        <w:t xml:space="preserve">5. Министерству сельского хозяйства Российской Федерации утвердить методические рекомендации по применению </w:t>
      </w:r>
      <w:hyperlink w:history="0" w:anchor="P37" w:tooltip="ПРАВИЛА">
        <w:r>
          <w:rPr>
            <w:sz w:val="24"/>
            <w:color w:val="0000ff"/>
          </w:rPr>
          <w:t xml:space="preserve">Правил</w:t>
        </w:r>
      </w:hyperlink>
      <w:r>
        <w:rPr>
          <w:sz w:val="24"/>
        </w:rPr>
        <w:t xml:space="preserve">, утвержденных настоящим постановлением.</w:t>
      </w:r>
    </w:p>
    <w:p>
      <w:pPr>
        <w:pStyle w:val="0"/>
        <w:jc w:val="center"/>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13 ноября 2013 г. N 1013</w:t>
      </w:r>
    </w:p>
    <w:p>
      <w:pPr>
        <w:pStyle w:val="0"/>
        <w:jc w:val="center"/>
      </w:pPr>
      <w:r>
        <w:rPr>
          <w:sz w:val="24"/>
        </w:rPr>
      </w:r>
    </w:p>
    <w:bookmarkStart w:id="37" w:name="P37"/>
    <w:bookmarkEnd w:id="37"/>
    <w:p>
      <w:pPr>
        <w:pStyle w:val="2"/>
        <w:jc w:val="center"/>
      </w:pPr>
      <w:r>
        <w:rPr>
          <w:sz w:val="24"/>
        </w:rPr>
        <w:t xml:space="preserve">ПРАВИЛА</w:t>
      </w:r>
    </w:p>
    <w:p>
      <w:pPr>
        <w:pStyle w:val="2"/>
        <w:jc w:val="center"/>
      </w:pPr>
      <w:r>
        <w:rPr>
          <w:sz w:val="24"/>
        </w:rPr>
        <w:t xml:space="preserve">ПРОВЕДЕНИЯ ТЕХНИЧЕСКОГО ОСМОТРА САМОХОДНЫХ</w:t>
      </w:r>
    </w:p>
    <w:p>
      <w:pPr>
        <w:pStyle w:val="2"/>
        <w:jc w:val="center"/>
      </w:pPr>
      <w:r>
        <w:rPr>
          <w:sz w:val="24"/>
        </w:rPr>
        <w:t xml:space="preserve">МАШИН И ДРУГИХ 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26.04.2020 </w:t>
            </w:r>
            <w:hyperlink w:history="0" r:id="rId16" w:tooltip="Постановление Правительства РФ от 26.04.2020 N 594 (ред. от 21.09.2020) &quot;О внесении изменений в некоторые акты Правительства Российской Федерации по вопросу управления самоходными машинами&quot; {КонсультантПлюс}">
              <w:r>
                <w:rPr>
                  <w:sz w:val="24"/>
                  <w:color w:val="0000ff"/>
                </w:rPr>
                <w:t xml:space="preserve">N 594</w:t>
              </w:r>
            </w:hyperlink>
            <w:r>
              <w:rPr>
                <w:sz w:val="24"/>
                <w:color w:val="392c69"/>
              </w:rPr>
              <w:t xml:space="preserve">,</w:t>
            </w:r>
          </w:p>
          <w:p>
            <w:pPr>
              <w:pStyle w:val="0"/>
              <w:jc w:val="center"/>
            </w:pPr>
            <w:r>
              <w:rPr>
                <w:sz w:val="24"/>
                <w:color w:val="392c69"/>
              </w:rPr>
              <w:t xml:space="preserve">от 23.09.2020 </w:t>
            </w:r>
            <w:hyperlink w:history="0" r:id="rId17"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N 1538</w:t>
              </w:r>
            </w:hyperlink>
            <w:r>
              <w:rPr>
                <w:sz w:val="24"/>
                <w:color w:val="392c69"/>
              </w:rPr>
              <w:t xml:space="preserve">, от 17.07.2024 </w:t>
            </w:r>
            <w:hyperlink w:history="0" r:id="rId18"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Настоящие Правила устанавливают порядок и периодичность проведения технического осмотра самоходных машин и других видов техники, подлежащих государственной регистрации или зарегистрированных исполнительными органами субъекта Российской Федерации, уполномоченными на осуществление регионального государственного надзора в области технического состояния и эксплуатации самоходных машин и других видов техники (далее - органы гостехнадзора).</w:t>
      </w:r>
    </w:p>
    <w:p>
      <w:pPr>
        <w:pStyle w:val="0"/>
        <w:jc w:val="both"/>
      </w:pPr>
      <w:r>
        <w:rPr>
          <w:sz w:val="24"/>
        </w:rPr>
        <w:t xml:space="preserve">(в ред. </w:t>
      </w:r>
      <w:hyperlink w:history="0" r:id="rId19"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В настоящих Правилах под самоходными машинами и другими видами техники (далее - машины) понимаются тракторы, самоходные дорожно-строительные машины, коммунальные, сельскохозяйственные машины, внедорожные автомототранспортные средства и другие наземные безрельсовые механические транспортные средства, имеющие двигатель внутреннего сгорания объемом свыше 50 куб. сантиметров или электродвигатель максимальной мощностью более 4 киловатт (за исключением наземных самоходных устройств категории "L", "M", "N" на колесном ходу с мощностью двигателя (двигателей) более 4 киловатт или с максимальной конструктивной скоростью более 50 километров в час, предназначенных для перевозки людей, грузов или оборудования, установленного на них, а также прицепов (полуприцепов) к ним и транспортных средств, самоходных машин, военной, специальной и других видов техники Вооруженных Сил Российской Федерации, других войск, воинских формирований и органов, опытных (испытательных) образцов вооружения, военной и специальной техники, в том числе относящихся в соответствии с законодательством Российской Федерации о военно-техническом сотрудничестве с иностранными государствами к продукции военного назначения), на которые оформляются паспорта самоходной машины и других видов техники (электронные паспорта самоходной машины и других видов техники), а также прицепы (полуприцепы) самоходных машин, на которые оформляются паспорта самоходной машины и других видов техники (электронные паспорта самоходной машины и других видов техники).</w:t>
      </w:r>
    </w:p>
    <w:p>
      <w:pPr>
        <w:pStyle w:val="0"/>
        <w:jc w:val="both"/>
      </w:pPr>
      <w:r>
        <w:rPr>
          <w:sz w:val="24"/>
        </w:rPr>
        <w:t xml:space="preserve">(п. 1 в ред. </w:t>
      </w:r>
      <w:hyperlink w:history="0" r:id="rId20"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2. Технический осмотр машин организуется и проводится органами гостехнадзора.</w:t>
      </w:r>
    </w:p>
    <w:p>
      <w:pPr>
        <w:pStyle w:val="0"/>
        <w:spacing w:before="240" w:line-rule="auto"/>
        <w:ind w:firstLine="540"/>
        <w:jc w:val="both"/>
      </w:pPr>
      <w:r>
        <w:rPr>
          <w:sz w:val="24"/>
        </w:rPr>
        <w:t xml:space="preserve">3. За выдачу документов о прохождении технического осмотра машин взимается государственная пошлина в размерах и порядке, которые установлены </w:t>
      </w:r>
      <w:r>
        <w:rPr>
          <w:sz w:val="24"/>
        </w:rPr>
        <w:t xml:space="preserve">законодательством</w:t>
      </w:r>
      <w:r>
        <w:rPr>
          <w:sz w:val="24"/>
        </w:rPr>
        <w:t xml:space="preserve"> Российской Федерации о налогах и сборах.</w:t>
      </w:r>
    </w:p>
    <w:p>
      <w:pPr>
        <w:pStyle w:val="0"/>
        <w:spacing w:before="240" w:line-rule="auto"/>
        <w:ind w:firstLine="540"/>
        <w:jc w:val="both"/>
      </w:pPr>
      <w:r>
        <w:rPr>
          <w:sz w:val="24"/>
        </w:rPr>
        <w:t xml:space="preserve">4. К машинам отдельных видов при проведении их технического осмотра предъявляются требования (включая параметры), предъявляемые при проведении технического осмотра к машинам отдельных видов, согласно </w:t>
      </w:r>
      <w:hyperlink w:history="0" w:anchor="P134" w:tooltip="ТРЕБОВАНИЯ">
        <w:r>
          <w:rPr>
            <w:sz w:val="24"/>
            <w:color w:val="0000ff"/>
          </w:rPr>
          <w:t xml:space="preserve">приложению N 1</w:t>
        </w:r>
      </w:hyperlink>
      <w:r>
        <w:rPr>
          <w:sz w:val="24"/>
        </w:rPr>
        <w:t xml:space="preserve"> (далее - требования безопасности).</w:t>
      </w:r>
    </w:p>
    <w:p>
      <w:pPr>
        <w:pStyle w:val="0"/>
        <w:jc w:val="both"/>
      </w:pPr>
      <w:r>
        <w:rPr>
          <w:sz w:val="24"/>
        </w:rPr>
        <w:t xml:space="preserve">(в ред. </w:t>
      </w:r>
      <w:hyperlink w:history="0" r:id="rId21"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5. Машины подлежат техническому осмотру со следующей периодичностью:</w:t>
      </w:r>
    </w:p>
    <w:p>
      <w:pPr>
        <w:pStyle w:val="0"/>
        <w:spacing w:before="240" w:line-rule="auto"/>
        <w:ind w:firstLine="540"/>
        <w:jc w:val="both"/>
      </w:pPr>
      <w:r>
        <w:rPr>
          <w:sz w:val="24"/>
        </w:rPr>
        <w:t xml:space="preserve">а) внедорожные автотранспортные средства, предназначенные для перевозки пассажиров и имеющие помимо сиденья водителя более 8 сидячих мест, - каждые 6 месяцев;</w:t>
      </w:r>
    </w:p>
    <w:p>
      <w:pPr>
        <w:pStyle w:val="0"/>
        <w:spacing w:before="240" w:line-rule="auto"/>
        <w:ind w:firstLine="540"/>
        <w:jc w:val="both"/>
      </w:pPr>
      <w:r>
        <w:rPr>
          <w:sz w:val="24"/>
        </w:rPr>
        <w:t xml:space="preserve">б) остальные машины - ежегодно.</w:t>
      </w:r>
    </w:p>
    <w:bookmarkStart w:id="55" w:name="P55"/>
    <w:bookmarkEnd w:id="55"/>
    <w:p>
      <w:pPr>
        <w:pStyle w:val="0"/>
        <w:spacing w:before="240" w:line-rule="auto"/>
        <w:ind w:firstLine="540"/>
        <w:jc w:val="both"/>
      </w:pPr>
      <w:r>
        <w:rPr>
          <w:sz w:val="24"/>
        </w:rPr>
        <w:t xml:space="preserve">6. Технический осмотр машин проводится до их регистрации органами гостехнадзора.</w:t>
      </w:r>
    </w:p>
    <w:p>
      <w:pPr>
        <w:pStyle w:val="0"/>
        <w:jc w:val="both"/>
      </w:pPr>
      <w:r>
        <w:rPr>
          <w:sz w:val="24"/>
        </w:rPr>
        <w:t xml:space="preserve">(в ред. </w:t>
      </w:r>
      <w:hyperlink w:history="0" r:id="rId22"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В отношении машин, с даты изготовления которых прошло не более одного года и которые не были в эксплуатации (за исключением внедорожных автотранспортных средств, предназначенных для перевозки пассажиров и имеющих помимо сиденья водителя более 8 сидячих мест), первый технический осмотр проводится без проверки их технического состояния с выдачей свидетельства о прохождении технического осмотра, предусмотренного </w:t>
      </w:r>
      <w:hyperlink w:history="0" w:anchor="P91" w:tooltip="12. По результатам технического осмотра машины оформляется один из следующих документов о прохождении технического осмотра:">
        <w:r>
          <w:rPr>
            <w:sz w:val="24"/>
            <w:color w:val="0000ff"/>
          </w:rPr>
          <w:t xml:space="preserve">пунктом 12</w:t>
        </w:r>
      </w:hyperlink>
      <w:r>
        <w:rPr>
          <w:sz w:val="24"/>
        </w:rPr>
        <w:t xml:space="preserve"> настоящих Правил.</w:t>
      </w:r>
    </w:p>
    <w:p>
      <w:pPr>
        <w:pStyle w:val="0"/>
        <w:spacing w:before="240" w:line-rule="auto"/>
        <w:ind w:firstLine="540"/>
        <w:jc w:val="both"/>
      </w:pPr>
      <w:r>
        <w:rPr>
          <w:sz w:val="24"/>
        </w:rPr>
        <w:t xml:space="preserve">Технические осмотры зарегистрированных машин проводятся (по выбору владельца машины):</w:t>
      </w:r>
    </w:p>
    <w:p>
      <w:pPr>
        <w:pStyle w:val="0"/>
        <w:jc w:val="both"/>
      </w:pPr>
      <w:r>
        <w:rPr>
          <w:sz w:val="24"/>
        </w:rPr>
        <w:t xml:space="preserve">(в ред. </w:t>
      </w:r>
      <w:hyperlink w:history="0" r:id="rId23"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в месте, в день и во время, которые определены органом гостехнадзора субъекта Российской Федерации исходя из установленной настоящими Правилами периодичности технического осмотра машин, количества зарегистрированных указанным органом машин, их местонахождения, сезонности использования и наличия места для проведения технического осмотра. Указанная информация размещается на официальном сайте этого органа в информационно-телекоммуникационной сети "Интернет";</w:t>
      </w:r>
    </w:p>
    <w:p>
      <w:pPr>
        <w:pStyle w:val="0"/>
        <w:spacing w:before="240" w:line-rule="auto"/>
        <w:ind w:firstLine="540"/>
        <w:jc w:val="both"/>
      </w:pPr>
      <w:r>
        <w:rPr>
          <w:sz w:val="24"/>
        </w:rPr>
        <w:t xml:space="preserve">по месту нахождения органа гостехнадзора независимо от места регистрации машин в согласованные с указанным органом день и время.</w:t>
      </w:r>
    </w:p>
    <w:p>
      <w:pPr>
        <w:pStyle w:val="0"/>
        <w:spacing w:before="240" w:line-rule="auto"/>
        <w:ind w:firstLine="540"/>
        <w:jc w:val="both"/>
      </w:pPr>
      <w:r>
        <w:rPr>
          <w:sz w:val="24"/>
        </w:rPr>
        <w:t xml:space="preserve">7. Проведение технического осмотра включает в себя:</w:t>
      </w:r>
    </w:p>
    <w:p>
      <w:pPr>
        <w:pStyle w:val="0"/>
        <w:spacing w:before="240" w:line-rule="auto"/>
        <w:ind w:firstLine="540"/>
        <w:jc w:val="both"/>
      </w:pPr>
      <w:r>
        <w:rPr>
          <w:sz w:val="24"/>
        </w:rPr>
        <w:t xml:space="preserve">а) проверку наличия документов, предусмотренных </w:t>
      </w:r>
      <w:hyperlink w:history="0" w:anchor="P68" w:tooltip="8. Для прохождения технического осмотра машины владелец машины или его представитель (далее - заявитель) представляет машину и следующие документы:">
        <w:r>
          <w:rPr>
            <w:sz w:val="24"/>
            <w:color w:val="0000ff"/>
          </w:rPr>
          <w:t xml:space="preserve">пунктом 8</w:t>
        </w:r>
      </w:hyperlink>
      <w:r>
        <w:rPr>
          <w:sz w:val="24"/>
        </w:rPr>
        <w:t xml:space="preserve"> настоящих Правил, а также информации об уплате государственной пошлины за выдачу документа о прохождении технического осмотра машины;</w:t>
      </w:r>
    </w:p>
    <w:p>
      <w:pPr>
        <w:pStyle w:val="0"/>
        <w:spacing w:before="240" w:line-rule="auto"/>
        <w:ind w:firstLine="540"/>
        <w:jc w:val="both"/>
      </w:pPr>
      <w:r>
        <w:rPr>
          <w:sz w:val="24"/>
        </w:rPr>
        <w:t xml:space="preserve">б) проверку соответствия машин данным, указанным в представленных документах, и идентификацию машин;</w:t>
      </w:r>
    </w:p>
    <w:p>
      <w:pPr>
        <w:pStyle w:val="0"/>
        <w:spacing w:before="240" w:line-rule="auto"/>
        <w:ind w:firstLine="540"/>
        <w:jc w:val="both"/>
      </w:pPr>
      <w:r>
        <w:rPr>
          <w:sz w:val="24"/>
        </w:rPr>
        <w:t xml:space="preserve">в) проверку технического состояния машин (за исключением машин, в отношении которых в соответствии с </w:t>
      </w:r>
      <w:hyperlink w:history="0" w:anchor="P55" w:tooltip="6. Технический осмотр машин проводится до их регистрации органами гостехнадзора.">
        <w:r>
          <w:rPr>
            <w:sz w:val="24"/>
            <w:color w:val="0000ff"/>
          </w:rPr>
          <w:t xml:space="preserve">пунктом 6</w:t>
        </w:r>
      </w:hyperlink>
      <w:r>
        <w:rPr>
          <w:sz w:val="24"/>
        </w:rPr>
        <w:t xml:space="preserve"> настоящих Правил технический осмотр производится без проверки их технического состояния);</w:t>
      </w:r>
    </w:p>
    <w:p>
      <w:pPr>
        <w:pStyle w:val="0"/>
        <w:jc w:val="both"/>
      </w:pPr>
      <w:r>
        <w:rPr>
          <w:sz w:val="24"/>
        </w:rPr>
        <w:t xml:space="preserve">(в ред. </w:t>
      </w:r>
      <w:hyperlink w:history="0" r:id="rId24"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г) оформление документов о прохождении технического осмотра.</w:t>
      </w:r>
    </w:p>
    <w:bookmarkStart w:id="68" w:name="P68"/>
    <w:bookmarkEnd w:id="68"/>
    <w:p>
      <w:pPr>
        <w:pStyle w:val="0"/>
        <w:spacing w:before="240" w:line-rule="auto"/>
        <w:ind w:firstLine="540"/>
        <w:jc w:val="both"/>
      </w:pPr>
      <w:r>
        <w:rPr>
          <w:sz w:val="24"/>
        </w:rPr>
        <w:t xml:space="preserve">8. Для прохождения технического осмотра машины владелец машины или его представитель (далее - заявитель) представляет машину и следующие документы:</w:t>
      </w:r>
    </w:p>
    <w:p>
      <w:pPr>
        <w:pStyle w:val="0"/>
        <w:spacing w:before="240" w:line-rule="auto"/>
        <w:ind w:firstLine="540"/>
        <w:jc w:val="both"/>
      </w:pPr>
      <w:r>
        <w:rPr>
          <w:sz w:val="24"/>
        </w:rPr>
        <w:t xml:space="preserve">а) документ, удостоверяющий личность заявителя;</w:t>
      </w:r>
    </w:p>
    <w:p>
      <w:pPr>
        <w:pStyle w:val="0"/>
        <w:spacing w:before="240" w:line-rule="auto"/>
        <w:ind w:firstLine="540"/>
        <w:jc w:val="both"/>
      </w:pPr>
      <w:r>
        <w:rPr>
          <w:sz w:val="24"/>
        </w:rPr>
        <w:t xml:space="preserve">б) доверенность или иной документ, подтверждающий полномочия представителя владельца машины (для представителя владельца машины). При подаче в электронной форме заявления, указанного в </w:t>
      </w:r>
      <w:hyperlink w:history="0" w:anchor="P75" w:tooltip="д) заявление о предоставлении государственной услуги о проведении технического осмотра машин (далее соответственно - заявление, государственная услуга) по форме согласно приложению N 2. Заявление может быть подано в электронной форме с использованием единого портала и (или) региональных порталов государственных и муниципальных услуг (функций) (далее - региональные порталы) без необходимости подачи такого заявления в иной форме с использованием:">
        <w:r>
          <w:rPr>
            <w:sz w:val="24"/>
            <w:color w:val="0000ff"/>
          </w:rPr>
          <w:t xml:space="preserve">подпункте "д"</w:t>
        </w:r>
      </w:hyperlink>
      <w:r>
        <w:rPr>
          <w:sz w:val="24"/>
        </w:rPr>
        <w:t xml:space="preserve"> настоящего пункта, полномочия представителя владельца машины могут быть подтверждены машиночитаемой доверенностью, сформированной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pPr>
        <w:pStyle w:val="0"/>
        <w:jc w:val="both"/>
      </w:pPr>
      <w:r>
        <w:rPr>
          <w:sz w:val="24"/>
        </w:rPr>
        <w:t xml:space="preserve">(пп. "б" в ред. </w:t>
      </w:r>
      <w:hyperlink w:history="0" r:id="rId25"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bookmarkStart w:id="72" w:name="P72"/>
    <w:bookmarkEnd w:id="72"/>
    <w:p>
      <w:pPr>
        <w:pStyle w:val="0"/>
        <w:spacing w:before="240" w:line-rule="auto"/>
        <w:ind w:firstLine="540"/>
        <w:jc w:val="both"/>
      </w:pPr>
      <w:r>
        <w:rPr>
          <w:sz w:val="24"/>
        </w:rPr>
        <w:t xml:space="preserve">в) документ, подтверждающий право заявителя на управление машиной, представленной для прохождения технического осмотра;</w:t>
      </w:r>
    </w:p>
    <w:bookmarkStart w:id="73" w:name="P73"/>
    <w:bookmarkEnd w:id="73"/>
    <w:p>
      <w:pPr>
        <w:pStyle w:val="0"/>
        <w:spacing w:before="240" w:line-rule="auto"/>
        <w:ind w:firstLine="540"/>
        <w:jc w:val="both"/>
      </w:pPr>
      <w:r>
        <w:rPr>
          <w:sz w:val="24"/>
        </w:rPr>
        <w:t xml:space="preserve">г) свидетельство о регистрации машины (для машин, зарегистрированных в органах гостехнадзора) (может быть представлено по инициативе заявителя);</w:t>
      </w:r>
    </w:p>
    <w:p>
      <w:pPr>
        <w:pStyle w:val="0"/>
        <w:jc w:val="both"/>
      </w:pPr>
      <w:r>
        <w:rPr>
          <w:sz w:val="24"/>
        </w:rPr>
        <w:t xml:space="preserve">(в ред. Постановлений Правительства РФ от 23.09.2020 </w:t>
      </w:r>
      <w:hyperlink w:history="0" r:id="rId26"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N 1538</w:t>
        </w:r>
      </w:hyperlink>
      <w:r>
        <w:rPr>
          <w:sz w:val="24"/>
        </w:rPr>
        <w:t xml:space="preserve">, от 17.07.2024 </w:t>
      </w:r>
      <w:hyperlink w:history="0" r:id="rId27"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bookmarkStart w:id="75" w:name="P75"/>
    <w:bookmarkEnd w:id="75"/>
    <w:p>
      <w:pPr>
        <w:pStyle w:val="0"/>
        <w:spacing w:before="240" w:line-rule="auto"/>
        <w:ind w:firstLine="540"/>
        <w:jc w:val="both"/>
      </w:pPr>
      <w:r>
        <w:rPr>
          <w:sz w:val="24"/>
        </w:rPr>
        <w:t xml:space="preserve">д) заявление о предоставлении государственной услуги о проведении технического осмотра машин (далее соответственно - заявление, государственная услуга) по форме согласно </w:t>
      </w:r>
      <w:hyperlink w:history="0" w:anchor="P333" w:tooltip="ЗАЯВЛЕНИЕ">
        <w:r>
          <w:rPr>
            <w:sz w:val="24"/>
            <w:color w:val="0000ff"/>
          </w:rPr>
          <w:t xml:space="preserve">приложению N 2</w:t>
        </w:r>
      </w:hyperlink>
      <w:r>
        <w:rPr>
          <w:sz w:val="24"/>
        </w:rPr>
        <w:t xml:space="preserve">. Заявление может быть подано в электронной форме с использованием единого портала и (или) региональных порталов государственных и муниципальных услуг (функций) (далее - региональные порталы) без необходимости подачи такого заявления в иной форме с использованием:</w:t>
      </w:r>
    </w:p>
    <w:p>
      <w:pPr>
        <w:pStyle w:val="0"/>
        <w:spacing w:before="240" w:line-rule="auto"/>
        <w:ind w:firstLine="540"/>
        <w:jc w:val="both"/>
      </w:pPr>
      <w:r>
        <w:rPr>
          <w:sz w:val="24"/>
        </w:rPr>
        <w:t xml:space="preserve">усиленной квалифицированной электронной подписи,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 для лиц, действующих от имени юридического лица без доверенности, и для индивидуальных предпринимателей, а также для физических лиц - представителей юридического лица, индивидуального предпринимателя, действующих от имени указанных лиц по доверенности;</w:t>
      </w:r>
    </w:p>
    <w:p>
      <w:pPr>
        <w:pStyle w:val="0"/>
        <w:spacing w:before="240" w:line-rule="auto"/>
        <w:ind w:firstLine="540"/>
        <w:jc w:val="both"/>
      </w:pPr>
      <w:r>
        <w:rPr>
          <w:sz w:val="24"/>
        </w:rPr>
        <w:t xml:space="preserve">усиленной квалифицированной электронной подписи,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простой электронной подписи - для физических лиц.</w:t>
      </w:r>
    </w:p>
    <w:p>
      <w:pPr>
        <w:pStyle w:val="0"/>
        <w:spacing w:before="240" w:line-rule="auto"/>
        <w:ind w:firstLine="540"/>
        <w:jc w:val="both"/>
      </w:pPr>
      <w:r>
        <w:rPr>
          <w:sz w:val="24"/>
        </w:rPr>
        <w:t xml:space="preserve">Орган гостехнадзора информирует заявителя о ходе оказания государственной услуги, а также о результатах оказания государственной услуги в автоматическом режиме посредством уведомлений в личном кабинете заявителя на едином портале и региональных порталах в течение 1 рабочего дня.</w:t>
      </w:r>
    </w:p>
    <w:p>
      <w:pPr>
        <w:pStyle w:val="0"/>
        <w:spacing w:before="240" w:line-rule="auto"/>
        <w:ind w:firstLine="540"/>
        <w:jc w:val="both"/>
      </w:pPr>
      <w:r>
        <w:rPr>
          <w:sz w:val="24"/>
        </w:rPr>
        <w:t xml:space="preserve">Сведения о заявлении, поданном лично в органы гостехнадзора, его рассмотрении и результатах рассмотрения, а также сведения о выданном свидетельстве о прохождении технического осмотра (акте технического осмотра) вносятся органами гостехнадзора в федеральную государственную информационную систему учета и регистрации тракторов, самоходных машин и прицепов к ним или в региональную информационную систему, используемую органом гостехнадзора, с последующим направлением в федеральную государственную информационную систему учета и регистрации тракторов, самоходных машин и прицепов к ним с использованием единой системы межведомственного электронного взаимодействия;</w:t>
      </w:r>
    </w:p>
    <w:p>
      <w:pPr>
        <w:pStyle w:val="0"/>
        <w:jc w:val="both"/>
      </w:pPr>
      <w:r>
        <w:rPr>
          <w:sz w:val="24"/>
        </w:rPr>
        <w:t xml:space="preserve">(пп. "д" в ред. </w:t>
      </w:r>
      <w:hyperlink w:history="0" r:id="rId28"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е) документ, подтверждающий право собственности или иное законное основание владения и пользования техникой (в случае прохождения технического осмотра до государственной регистрации);</w:t>
      </w:r>
    </w:p>
    <w:p>
      <w:pPr>
        <w:pStyle w:val="0"/>
        <w:jc w:val="both"/>
      </w:pPr>
      <w:r>
        <w:rPr>
          <w:sz w:val="24"/>
        </w:rPr>
        <w:t xml:space="preserve">(пп. "е" введен </w:t>
      </w:r>
      <w:hyperlink w:history="0" r:id="rId29"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Постановлением</w:t>
        </w:r>
      </w:hyperlink>
      <w:r>
        <w:rPr>
          <w:sz w:val="24"/>
        </w:rPr>
        <w:t xml:space="preserve"> Правительства РФ от 23.09.2020 N 1538)</w:t>
      </w:r>
    </w:p>
    <w:bookmarkStart w:id="83" w:name="P83"/>
    <w:bookmarkEnd w:id="83"/>
    <w:p>
      <w:pPr>
        <w:pStyle w:val="0"/>
        <w:spacing w:before="240" w:line-rule="auto"/>
        <w:ind w:firstLine="540"/>
        <w:jc w:val="both"/>
      </w:pPr>
      <w:r>
        <w:rPr>
          <w:sz w:val="24"/>
        </w:rPr>
        <w:t xml:space="preserve">ж) паспорт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или выписка из электронного паспорта машины со статусом "действующий" (далее - выписка из электронного паспорта машины) в системе электронных паспортов самоходной машины и других видов техники, оформленного в соответствии с </w:t>
      </w:r>
      <w:hyperlink w:history="0" r:id="rId30" w:tooltip="&quot;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quot; (Заключено в г. Москве 15.08.2014) {КонсультантПлюс}">
        <w:r>
          <w:rPr>
            <w:sz w:val="24"/>
            <w:color w:val="0000ff"/>
          </w:rPr>
          <w:t xml:space="preserve">Соглашением</w:t>
        </w:r>
      </w:hyperlink>
      <w:r>
        <w:rPr>
          <w:sz w:val="24"/>
        </w:rPr>
        <w:t xml:space="preserve">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(в случае прохождения технического осмотра до государственной регистрации). Выписка из электронного паспорта машины может быть представлена по инициативе заявителя;</w:t>
      </w:r>
    </w:p>
    <w:p>
      <w:pPr>
        <w:pStyle w:val="0"/>
        <w:jc w:val="both"/>
      </w:pPr>
      <w:r>
        <w:rPr>
          <w:sz w:val="24"/>
        </w:rPr>
        <w:t xml:space="preserve">(пп. "ж" введен </w:t>
      </w:r>
      <w:hyperlink w:history="0" r:id="rId31"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Постановлением</w:t>
        </w:r>
      </w:hyperlink>
      <w:r>
        <w:rPr>
          <w:sz w:val="24"/>
        </w:rPr>
        <w:t xml:space="preserve"> Правительства РФ от 23.09.2020 N 1538)</w:t>
      </w:r>
    </w:p>
    <w:p>
      <w:pPr>
        <w:pStyle w:val="0"/>
        <w:spacing w:before="240" w:line-rule="auto"/>
        <w:ind w:firstLine="540"/>
        <w:jc w:val="both"/>
      </w:pPr>
      <w:r>
        <w:rPr>
          <w:sz w:val="24"/>
        </w:rPr>
        <w:t xml:space="preserve">з) утратил силу с 1 сентября 2024 года. - </w:t>
      </w:r>
      <w:hyperlink w:history="0" r:id="rId32"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17.07.2024 N 969.</w:t>
      </w:r>
    </w:p>
    <w:bookmarkStart w:id="86" w:name="P86"/>
    <w:bookmarkEnd w:id="86"/>
    <w:p>
      <w:pPr>
        <w:pStyle w:val="0"/>
        <w:spacing w:before="240" w:line-rule="auto"/>
        <w:ind w:firstLine="540"/>
        <w:jc w:val="both"/>
      </w:pPr>
      <w:r>
        <w:rPr>
          <w:sz w:val="24"/>
        </w:rPr>
        <w:t xml:space="preserve">9. Информацию об уплате государственной пошлины за выдачу документа о прохождении технического осмотра машины орган гостехнадзора получает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Документ об уплате указанной государственной пошлины может быть представлен в орган гостехнадзора заявителем по собственной инициативе.</w:t>
      </w:r>
    </w:p>
    <w:bookmarkStart w:id="88" w:name="P88"/>
    <w:bookmarkEnd w:id="88"/>
    <w:p>
      <w:pPr>
        <w:pStyle w:val="0"/>
        <w:spacing w:before="240" w:line-rule="auto"/>
        <w:ind w:firstLine="540"/>
        <w:jc w:val="both"/>
      </w:pPr>
      <w:r>
        <w:rPr>
          <w:sz w:val="24"/>
        </w:rPr>
        <w:t xml:space="preserve">10. В случае непредставления документов, предусмотренных </w:t>
      </w:r>
      <w:hyperlink w:history="0" w:anchor="P68" w:tooltip="8. Для прохождения технического осмотра машины владелец машины или его представитель (далее - заявитель) представляет машину и следующие документы:">
        <w:r>
          <w:rPr>
            <w:sz w:val="24"/>
            <w:color w:val="0000ff"/>
          </w:rPr>
          <w:t xml:space="preserve">пунктом 8</w:t>
        </w:r>
      </w:hyperlink>
      <w:r>
        <w:rPr>
          <w:sz w:val="24"/>
        </w:rPr>
        <w:t xml:space="preserve"> настоящих Правил, в полном объеме, или отсутствия информации об уплате государственной пошлины за выдачу документа о прохождении технического осмотра машины, или несоответствия машины данным, указанным в представленных документах, проверка технического состояния машины не проводится и составляется акт технического осмотра, предусмотренный </w:t>
      </w:r>
      <w:hyperlink w:history="0" w:anchor="P91" w:tooltip="12. По результатам технического осмотра машины оформляется один из следующих документов о прохождении технического осмотра:">
        <w:r>
          <w:rPr>
            <w:sz w:val="24"/>
            <w:color w:val="0000ff"/>
          </w:rPr>
          <w:t xml:space="preserve">пунктом 12</w:t>
        </w:r>
      </w:hyperlink>
      <w:r>
        <w:rPr>
          <w:sz w:val="24"/>
        </w:rPr>
        <w:t xml:space="preserve"> настоящих Правил.</w:t>
      </w:r>
    </w:p>
    <w:p>
      <w:pPr>
        <w:pStyle w:val="0"/>
        <w:spacing w:before="240" w:line-rule="auto"/>
        <w:ind w:firstLine="540"/>
        <w:jc w:val="both"/>
      </w:pPr>
      <w:r>
        <w:rPr>
          <w:sz w:val="24"/>
        </w:rPr>
        <w:t xml:space="preserve">11. Техническое диагностирование проводится методами визуального, органолептического контроля с использованием средств технического диагностирования, в том числе передвижных средств.</w:t>
      </w:r>
    </w:p>
    <w:p>
      <w:pPr>
        <w:pStyle w:val="0"/>
        <w:spacing w:before="240" w:line-rule="auto"/>
        <w:ind w:firstLine="540"/>
        <w:jc w:val="both"/>
      </w:pPr>
      <w:r>
        <w:rPr>
          <w:sz w:val="24"/>
        </w:rPr>
        <w:t xml:space="preserve">Основные технические характеристики и перечни средств технического диагностирования утверждаются Министерством сельского хозяйства Российской Федерации.</w:t>
      </w:r>
    </w:p>
    <w:bookmarkStart w:id="91" w:name="P91"/>
    <w:bookmarkEnd w:id="91"/>
    <w:p>
      <w:pPr>
        <w:pStyle w:val="0"/>
        <w:spacing w:before="240" w:line-rule="auto"/>
        <w:ind w:firstLine="540"/>
        <w:jc w:val="both"/>
      </w:pPr>
      <w:r>
        <w:rPr>
          <w:sz w:val="24"/>
        </w:rPr>
        <w:t xml:space="preserve">12. По результатам технического осмотра машины оформляется один из следующих документов о прохождении технического осмотра:</w:t>
      </w:r>
    </w:p>
    <w:p>
      <w:pPr>
        <w:pStyle w:val="0"/>
        <w:spacing w:before="240" w:line-rule="auto"/>
        <w:ind w:firstLine="540"/>
        <w:jc w:val="both"/>
      </w:pPr>
      <w:r>
        <w:rPr>
          <w:sz w:val="24"/>
        </w:rPr>
        <w:t xml:space="preserve">а) свидетельство о прохождении технического осмотра (в случае соответствия машины требованиям безопасности);</w:t>
      </w:r>
    </w:p>
    <w:p>
      <w:pPr>
        <w:pStyle w:val="0"/>
        <w:spacing w:before="240" w:line-rule="auto"/>
        <w:ind w:firstLine="540"/>
        <w:jc w:val="both"/>
      </w:pPr>
      <w:r>
        <w:rPr>
          <w:sz w:val="24"/>
        </w:rPr>
        <w:t xml:space="preserve">б) акт технического осмотра (в случае выявления несоответствия машины какому-либо из требований безопасности, а также в случаях, предусмотренных </w:t>
      </w:r>
      <w:hyperlink w:history="0" w:anchor="P88" w:tooltip="10. В случае непредставления документов, предусмотренных пунктом 8 настоящих Правил, в полном объеме, или отсутствия информации об уплате государственной пошлины за выдачу документа о прохождении технического осмотра машины, или несоответствия машины данным, указанным в представленных документах, проверка технического состояния машины не проводится и составляется акт технического осмотра, предусмотренный пунктом 12 настоящих Правил.">
        <w:r>
          <w:rPr>
            <w:sz w:val="24"/>
            <w:color w:val="0000ff"/>
          </w:rPr>
          <w:t xml:space="preserve">пунктом 10</w:t>
        </w:r>
      </w:hyperlink>
      <w:r>
        <w:rPr>
          <w:sz w:val="24"/>
        </w:rPr>
        <w:t xml:space="preserve"> настоящих Правил).</w:t>
      </w:r>
    </w:p>
    <w:p>
      <w:pPr>
        <w:pStyle w:val="0"/>
        <w:spacing w:before="240" w:line-rule="auto"/>
        <w:ind w:firstLine="540"/>
        <w:jc w:val="both"/>
      </w:pPr>
      <w:r>
        <w:rPr>
          <w:sz w:val="24"/>
        </w:rPr>
        <w:t xml:space="preserve">12(1). По желанию заявителя свидетельство о прохождении технического осмотра (акт технического осмотра) может быть выдано на бумажном носителе и (или) в виде электронного документа, форма которого соответствует форме свидетельства о прохождении технического осмотра (акта технического осмотра) на бумажном носителе. Свидетельство о прохождении технического осмотра (акт технического осмотра) в виде электронного документа подписывается усиленной квалифицированной электронной подписью государственного инженера - инспектора органа гостехнадзора и направляется в личный кабинет заявителя на едином портале и региональных порталах.</w:t>
      </w:r>
    </w:p>
    <w:p>
      <w:pPr>
        <w:pStyle w:val="0"/>
        <w:spacing w:before="240" w:line-rule="auto"/>
        <w:ind w:firstLine="540"/>
        <w:jc w:val="both"/>
      </w:pPr>
      <w:r>
        <w:rPr>
          <w:sz w:val="24"/>
        </w:rPr>
        <w:t xml:space="preserve">Оформление свидетельства о прохождении технического осмотра (акта технического осмотра) в виде электронного документа осуществляется при наличии технической возможности единого портала и (или) региональных порталов, а также информационных систем, используемых органами гостехнадзора.</w:t>
      </w:r>
    </w:p>
    <w:p>
      <w:pPr>
        <w:pStyle w:val="0"/>
        <w:jc w:val="both"/>
      </w:pPr>
      <w:r>
        <w:rPr>
          <w:sz w:val="24"/>
        </w:rPr>
        <w:t xml:space="preserve">(п. 12(1) введен </w:t>
      </w:r>
      <w:hyperlink w:history="0" r:id="rId33"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17.07.2024 N 969)</w:t>
      </w:r>
    </w:p>
    <w:p>
      <w:pPr>
        <w:pStyle w:val="0"/>
        <w:spacing w:before="240" w:line-rule="auto"/>
        <w:ind w:firstLine="540"/>
        <w:jc w:val="both"/>
      </w:pPr>
      <w:r>
        <w:rPr>
          <w:sz w:val="24"/>
        </w:rPr>
        <w:t xml:space="preserve">13. Свидетельство о прохождении технического осмотра действует в отношении:</w:t>
      </w:r>
    </w:p>
    <w:p>
      <w:pPr>
        <w:pStyle w:val="0"/>
        <w:spacing w:before="240" w:line-rule="auto"/>
        <w:ind w:firstLine="540"/>
        <w:jc w:val="both"/>
      </w:pPr>
      <w:r>
        <w:rPr>
          <w:sz w:val="24"/>
        </w:rPr>
        <w:t xml:space="preserve">внедорожных автотранспортных средств, предназначенных для перевозки пассажиров и имеющих помимо сиденья водителя более 8 сидячих мест, - в течение 6 месяцев со дня его выдачи;</w:t>
      </w:r>
    </w:p>
    <w:p>
      <w:pPr>
        <w:pStyle w:val="0"/>
        <w:spacing w:before="240" w:line-rule="auto"/>
        <w:ind w:firstLine="540"/>
        <w:jc w:val="both"/>
      </w:pPr>
      <w:r>
        <w:rPr>
          <w:sz w:val="24"/>
        </w:rPr>
        <w:t xml:space="preserve">остальных машин - в течение календарного года.</w:t>
      </w:r>
    </w:p>
    <w:p>
      <w:pPr>
        <w:pStyle w:val="0"/>
        <w:spacing w:before="240" w:line-rule="auto"/>
        <w:ind w:firstLine="540"/>
        <w:jc w:val="both"/>
      </w:pPr>
      <w:r>
        <w:rPr>
          <w:sz w:val="24"/>
        </w:rPr>
        <w:t xml:space="preserve">В случае утраты или порчи свидетельства о прохождении технического осмотра в течение срока его действия соответствующий дубликат выдается органом гостехнадзора, оформившим указанное свидетельство, по заявлению владельца машины или его представителя после получения органом гостехнадзора информации об уплате государственной пошлины в порядке, предусмотренном </w:t>
      </w:r>
      <w:hyperlink w:history="0" w:anchor="P86" w:tooltip="9. Информацию об уплате государственной пошлины за выдачу документа о прохождении технического осмотра машины орган гостехнадзора получает с использованием единой системы межведомственного электронного взаимодействия.">
        <w:r>
          <w:rPr>
            <w:sz w:val="24"/>
            <w:color w:val="0000ff"/>
          </w:rPr>
          <w:t xml:space="preserve">пунктом 9</w:t>
        </w:r>
      </w:hyperlink>
      <w:r>
        <w:rPr>
          <w:sz w:val="24"/>
        </w:rPr>
        <w:t xml:space="preserve"> настоящих Правил.</w:t>
      </w:r>
    </w:p>
    <w:p>
      <w:pPr>
        <w:pStyle w:val="0"/>
        <w:spacing w:before="240" w:line-rule="auto"/>
        <w:ind w:firstLine="540"/>
        <w:jc w:val="both"/>
      </w:pPr>
      <w:r>
        <w:rPr>
          <w:sz w:val="24"/>
        </w:rPr>
        <w:t xml:space="preserve">Бланк свидетельства о прохождении технического осмотра является документом строгой отчетности и защищенной полиграфической продукцией уровня "Б".</w:t>
      </w:r>
    </w:p>
    <w:p>
      <w:pPr>
        <w:pStyle w:val="0"/>
        <w:spacing w:before="240" w:line-rule="auto"/>
        <w:ind w:firstLine="540"/>
        <w:jc w:val="both"/>
      </w:pPr>
      <w:hyperlink w:history="0" r:id="rId34"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Форма</w:t>
        </w:r>
      </w:hyperlink>
      <w:r>
        <w:rPr>
          <w:sz w:val="24"/>
        </w:rPr>
        <w:t xml:space="preserve"> бланка свидетельства о прохождении технического осмотра, а также порядок его заполнения, хранения и уничтожения утверждаются Министерством сельского хозяйства Российской Федерации.</w:t>
      </w:r>
    </w:p>
    <w:p>
      <w:pPr>
        <w:pStyle w:val="0"/>
        <w:spacing w:before="240" w:line-rule="auto"/>
        <w:ind w:firstLine="540"/>
        <w:jc w:val="both"/>
      </w:pPr>
      <w:r>
        <w:rPr>
          <w:sz w:val="24"/>
        </w:rPr>
        <w:t xml:space="preserve">Срок действия свидетельства о прохождении технического осмотра продлевается на 6 месяцев в случае, если срок действия этого свидетельства истекает в период с 1 апреля по 31 августа 2020 г.</w:t>
      </w:r>
    </w:p>
    <w:p>
      <w:pPr>
        <w:pStyle w:val="0"/>
        <w:jc w:val="both"/>
      </w:pPr>
      <w:r>
        <w:rPr>
          <w:sz w:val="24"/>
        </w:rPr>
        <w:t xml:space="preserve">(абзац введен </w:t>
      </w:r>
      <w:hyperlink w:history="0" r:id="rId35" w:tooltip="Постановление Правительства РФ от 26.04.2020 N 594 (ред. от 21.09.2020) &quot;О внесении изменений в некоторые акты Правительства Российской Федерации по вопросу управления самоходными машинами&quot; {КонсультантПлюс}">
        <w:r>
          <w:rPr>
            <w:sz w:val="24"/>
            <w:color w:val="0000ff"/>
          </w:rPr>
          <w:t xml:space="preserve">Постановлением</w:t>
        </w:r>
      </w:hyperlink>
      <w:r>
        <w:rPr>
          <w:sz w:val="24"/>
        </w:rPr>
        <w:t xml:space="preserve"> Правительства РФ от 26.04.2020 N 594)</w:t>
      </w:r>
    </w:p>
    <w:p>
      <w:pPr>
        <w:pStyle w:val="0"/>
        <w:spacing w:before="240" w:line-rule="auto"/>
        <w:ind w:firstLine="540"/>
        <w:jc w:val="both"/>
      </w:pPr>
      <w:r>
        <w:rPr>
          <w:sz w:val="24"/>
        </w:rPr>
        <w:t xml:space="preserve">14. В случае выявления несоответствия машины какому-либо из требований безопасности в акте технического осмотра указываются параметры машины, в отношении которых установлено такое несоответствие.</w:t>
      </w:r>
    </w:p>
    <w:p>
      <w:pPr>
        <w:pStyle w:val="0"/>
        <w:spacing w:before="240" w:line-rule="auto"/>
        <w:ind w:firstLine="540"/>
        <w:jc w:val="both"/>
      </w:pPr>
      <w:hyperlink w:history="0" r:id="rId36"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Форма</w:t>
        </w:r>
      </w:hyperlink>
      <w:r>
        <w:rPr>
          <w:sz w:val="24"/>
        </w:rPr>
        <w:t xml:space="preserve"> акта технического осмотра и </w:t>
      </w:r>
      <w:hyperlink w:history="0" r:id="rId37" w:tooltip="Приказ Минсельхоза России от 18.12.2013 N 484 (ред. от 25.01.2017) &quot;Об утверждении формы бланка свидетельства о прохождении технического осмотра, порядка заполнения, хранения и уничтожения бланка свидетельства о прохождении технического осмотра, формы акта технического осмотра и порядка заполнения акта технического осмотра&quot; (Зарегистрировано в Минюсте России 28.01.2014 N 31143) {КонсультантПлюс}">
        <w:r>
          <w:rPr>
            <w:sz w:val="24"/>
            <w:color w:val="0000ff"/>
          </w:rPr>
          <w:t xml:space="preserve">порядок</w:t>
        </w:r>
      </w:hyperlink>
      <w:r>
        <w:rPr>
          <w:sz w:val="24"/>
        </w:rPr>
        <w:t xml:space="preserve"> его заполнения утверждаются Министерством сельского хозяйства Российской Федерации.</w:t>
      </w:r>
    </w:p>
    <w:p>
      <w:pPr>
        <w:pStyle w:val="0"/>
        <w:spacing w:before="240" w:line-rule="auto"/>
        <w:ind w:firstLine="540"/>
        <w:jc w:val="both"/>
      </w:pPr>
      <w:r>
        <w:rPr>
          <w:sz w:val="24"/>
        </w:rPr>
        <w:t xml:space="preserve">15. Машина, в отношении которой оформлен акт технического осмотра, подлежит повторному техническому осмотру.</w:t>
      </w:r>
    </w:p>
    <w:p>
      <w:pPr>
        <w:pStyle w:val="0"/>
        <w:spacing w:before="240" w:line-rule="auto"/>
        <w:ind w:firstLine="540"/>
        <w:jc w:val="both"/>
      </w:pPr>
      <w:r>
        <w:rPr>
          <w:sz w:val="24"/>
        </w:rPr>
        <w:t xml:space="preserve">При представлении машины для прохождения повторного технического осмотра в течение 20 дней со дня оформления акта технического осмотра, содержащего сведения о несоответствии машины какому-либо из требований безопасности, органу гостехнадзора, оформившему такой акт, проверка технического состояния машины проводится только в отношении указанных в этом акте параметров машины, по которым установлено такое несоответствие.</w:t>
      </w:r>
    </w:p>
    <w:p>
      <w:pPr>
        <w:pStyle w:val="0"/>
        <w:spacing w:before="240" w:line-rule="auto"/>
        <w:ind w:firstLine="540"/>
        <w:jc w:val="both"/>
      </w:pPr>
      <w:r>
        <w:rPr>
          <w:sz w:val="24"/>
        </w:rPr>
        <w:t xml:space="preserve">16. Предоставление государственной услуги осуществляется в соответствии с настоящими Правилами и административным регламентом, принятым в порядке, утверждаемом высшим исполнительным органом субъекта Российской Федерации.</w:t>
      </w:r>
    </w:p>
    <w:bookmarkStart w:id="110" w:name="P110"/>
    <w:bookmarkEnd w:id="110"/>
    <w:p>
      <w:pPr>
        <w:pStyle w:val="0"/>
        <w:spacing w:before="240" w:line-rule="auto"/>
        <w:ind w:firstLine="540"/>
        <w:jc w:val="both"/>
      </w:pPr>
      <w:r>
        <w:rPr>
          <w:sz w:val="24"/>
        </w:rPr>
        <w:t xml:space="preserve">Срок предоставления государственной услуги не может превышать 10 рабочих дней со дня регистрации заявления.</w:t>
      </w:r>
    </w:p>
    <w:p>
      <w:pPr>
        <w:pStyle w:val="0"/>
        <w:spacing w:before="240" w:line-rule="auto"/>
        <w:ind w:firstLine="540"/>
        <w:jc w:val="both"/>
      </w:pPr>
      <w:r>
        <w:rPr>
          <w:sz w:val="24"/>
        </w:rPr>
        <w:t xml:space="preserve">Срок приостановления предоставления государственной услуги не может превышать 30 календарных дней со дня, следующего за днем установления оснований для приостановления государственной услуги.</w:t>
      </w:r>
    </w:p>
    <w:p>
      <w:pPr>
        <w:pStyle w:val="0"/>
        <w:spacing w:before="240" w:line-rule="auto"/>
        <w:ind w:firstLine="540"/>
        <w:jc w:val="both"/>
      </w:pPr>
      <w:r>
        <w:rPr>
          <w:sz w:val="24"/>
        </w:rPr>
        <w:t xml:space="preserve">Срок выдачи (направления) документов, являющихся результатом предоставления государственной услуги, не может превышать 2 рабочих дней со дня проведения технического осмотра машины или подписания мотивированного отказа в предоставлении государственной услуги. Указанный срок включается в общий срок предоставления государственной услуги, предусмотренный </w:t>
      </w:r>
      <w:hyperlink w:history="0" w:anchor="P110" w:tooltip="Срок предоставления государственной услуги не может превышать 10 рабочих дней со дня регистрации заявления.">
        <w:r>
          <w:rPr>
            <w:sz w:val="24"/>
            <w:color w:val="0000ff"/>
          </w:rPr>
          <w:t xml:space="preserve">абзацем вторым</w:t>
        </w:r>
      </w:hyperlink>
      <w:r>
        <w:rPr>
          <w:sz w:val="24"/>
        </w:rPr>
        <w:t xml:space="preserve"> настоящего пункта.</w:t>
      </w:r>
    </w:p>
    <w:p>
      <w:pPr>
        <w:pStyle w:val="0"/>
        <w:spacing w:before="240" w:line-rule="auto"/>
        <w:ind w:firstLine="540"/>
        <w:jc w:val="both"/>
      </w:pPr>
      <w:r>
        <w:rPr>
          <w:sz w:val="24"/>
        </w:rPr>
        <w:t xml:space="preserve">Предоставление государственной услуги приостанавливается в случае непредставления заявителем документов, указанных в </w:t>
      </w:r>
      <w:hyperlink w:history="0" w:anchor="P72" w:tooltip="в) документ, подтверждающий право заявителя на управление машиной, представленной для прохождения технического осмотра;">
        <w:r>
          <w:rPr>
            <w:sz w:val="24"/>
            <w:color w:val="0000ff"/>
          </w:rPr>
          <w:t xml:space="preserve">подпунктах "в"</w:t>
        </w:r>
      </w:hyperlink>
      <w:r>
        <w:rPr>
          <w:sz w:val="24"/>
        </w:rPr>
        <w:t xml:space="preserve">, </w:t>
      </w:r>
      <w:hyperlink w:history="0" w:anchor="P73" w:tooltip="г) свидетельство о регистрации машины (для машин, зарегистрированных в органах гостехнадзора) (может быть представлено по инициативе заявителя);">
        <w:r>
          <w:rPr>
            <w:sz w:val="24"/>
            <w:color w:val="0000ff"/>
          </w:rPr>
          <w:t xml:space="preserve">"г"</w:t>
        </w:r>
      </w:hyperlink>
      <w:r>
        <w:rPr>
          <w:sz w:val="24"/>
        </w:rPr>
        <w:t xml:space="preserve">, </w:t>
      </w:r>
      <w:hyperlink w:history="0" w:anchor="P83" w:tooltip="ж) паспорт машины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или выписка из электронного паспорта машины со статусом &quot;действующий&quot; (далее - выписка из электронного паспорта машины) в системе электронных паспортов самоходной машины и других видов техники, оформленного в соответствии с Соглашением о введении единых форм паспорта транспортного средства (паспорта шасси транспортного средства) и п...">
        <w:r>
          <w:rPr>
            <w:sz w:val="24"/>
            <w:color w:val="0000ff"/>
          </w:rPr>
          <w:t xml:space="preserve">"ж" пункта 8</w:t>
        </w:r>
      </w:hyperlink>
      <w:r>
        <w:rPr>
          <w:sz w:val="24"/>
        </w:rPr>
        <w:t xml:space="preserve"> настоящих Правил, а также при возникновении сомнений в их подлинности.</w:t>
      </w:r>
    </w:p>
    <w:p>
      <w:pPr>
        <w:pStyle w:val="0"/>
        <w:spacing w:before="240" w:line-rule="auto"/>
        <w:ind w:firstLine="540"/>
        <w:jc w:val="both"/>
      </w:pPr>
      <w:r>
        <w:rPr>
          <w:sz w:val="24"/>
        </w:rPr>
        <w:t xml:space="preserve">Основания для отказа в предоставлении государственной услуги:</w:t>
      </w:r>
    </w:p>
    <w:p>
      <w:pPr>
        <w:pStyle w:val="0"/>
        <w:spacing w:before="240" w:line-rule="auto"/>
        <w:ind w:firstLine="540"/>
        <w:jc w:val="both"/>
      </w:pPr>
      <w:r>
        <w:rPr>
          <w:sz w:val="24"/>
        </w:rPr>
        <w:t xml:space="preserve">документы (сведения), представленные заявителем, противоречат сведениям, полученным в рамках межведомственного взаимодействия;</w:t>
      </w:r>
    </w:p>
    <w:p>
      <w:pPr>
        <w:pStyle w:val="0"/>
        <w:spacing w:before="240" w:line-rule="auto"/>
        <w:ind w:firstLine="540"/>
        <w:jc w:val="both"/>
      </w:pPr>
      <w:r>
        <w:rPr>
          <w:sz w:val="24"/>
        </w:rPr>
        <w:t xml:space="preserve">отсутствие информации об уплате государственной пошлины за выдачу документа о прохождении технического осмотра машины.</w:t>
      </w:r>
    </w:p>
    <w:p>
      <w:pPr>
        <w:pStyle w:val="0"/>
        <w:spacing w:before="240" w:line-rule="auto"/>
        <w:ind w:firstLine="540"/>
        <w:jc w:val="both"/>
      </w:pPr>
      <w:r>
        <w:rPr>
          <w:sz w:val="24"/>
        </w:rPr>
        <w:t xml:space="preserve">Государственная услуга может предоставляться в многофункциональных центрах предоставления государственных и муниципальных услуг.</w:t>
      </w:r>
    </w:p>
    <w:p>
      <w:pPr>
        <w:pStyle w:val="0"/>
        <w:spacing w:before="240" w:line-rule="auto"/>
        <w:ind w:firstLine="540"/>
        <w:jc w:val="both"/>
      </w:pPr>
      <w:r>
        <w:rPr>
          <w:sz w:val="24"/>
        </w:rPr>
        <w:t xml:space="preserve">После проведения технического осмотра машины на едином портале и (или) региональных порталах обеспечивается возможность записи заявителя на прием в орган гостехнадзора для получения свидетельства о прохождении технического осмотра (акта технического осмотра) на бумажном носителе.</w:t>
      </w:r>
    </w:p>
    <w:p>
      <w:pPr>
        <w:pStyle w:val="0"/>
        <w:spacing w:before="240" w:line-rule="auto"/>
        <w:ind w:firstLine="540"/>
        <w:jc w:val="both"/>
      </w:pPr>
      <w:r>
        <w:rPr>
          <w:sz w:val="24"/>
        </w:rPr>
        <w:t xml:space="preserve">Материалы, послужившие основанием для предоставления государственной услуги, хранятся в органе гостехнадзора в течение 5 лет.</w:t>
      </w:r>
    </w:p>
    <w:p>
      <w:pPr>
        <w:pStyle w:val="0"/>
        <w:spacing w:before="240" w:line-rule="auto"/>
        <w:ind w:firstLine="540"/>
        <w:jc w:val="both"/>
      </w:pPr>
      <w:r>
        <w:rPr>
          <w:sz w:val="24"/>
        </w:rPr>
        <w:t xml:space="preserve">Региональная информационная система, используемая органами гостехнадзора при государственной регистрации самоходных машин и других видов техники, а также федеральная государственная информационная система учета и регистрации тракторов, самоходных машин и прицепов к ним должны обеспечивать хранение информации о поданном заявлении, его рассмотрении и результатах рассмотрения, а также сведения о выданных свидетельствах о прохождении технического осмотра (актах технического осмотра) в течение 75 лет.</w:t>
      </w:r>
    </w:p>
    <w:p>
      <w:pPr>
        <w:pStyle w:val="0"/>
        <w:jc w:val="both"/>
      </w:pPr>
      <w:r>
        <w:rPr>
          <w:sz w:val="24"/>
        </w:rPr>
        <w:t xml:space="preserve">(п. 16 введен </w:t>
      </w:r>
      <w:hyperlink w:history="0" r:id="rId38"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17.07.2024 N 969)</w:t>
      </w:r>
    </w:p>
    <w:p>
      <w:pPr>
        <w:pStyle w:val="0"/>
        <w:spacing w:before="240" w:line-rule="auto"/>
        <w:ind w:firstLine="540"/>
        <w:jc w:val="both"/>
      </w:pPr>
      <w:r>
        <w:rPr>
          <w:sz w:val="24"/>
        </w:rPr>
        <w:t xml:space="preserve">17. Предусмотренный настоящими Правилами обмен документами между заявителем и органом гостехнадзора в электронном виде посредством единого портала осуществляется с учетом </w:t>
      </w:r>
      <w:hyperlink w:history="0" r:id="rId39" w:tooltip="Постановление Правительства РФ от 01.03.2022 N 277 (ред. от 14.10.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 {КонсультантПлюс}">
        <w:r>
          <w:rPr>
            <w:sz w:val="24"/>
            <w:color w:val="0000ff"/>
          </w:rPr>
          <w:t xml:space="preserve">Правил</w:t>
        </w:r>
      </w:hyperlink>
      <w:r>
        <w:rPr>
          <w:sz w:val="24"/>
        </w:rPr>
        <w:t xml:space="preserve"> направления в личный кабинет заявителя в федеральной государственной информационной системе "Единый портал государственных и муниципальных услуг (функций)"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 утвержденных постановлением Правительства Российской Федерации от 1 марта 2022 г. N 277 "О направлении в личный кабинет заявителя в федеральной государственной информационной системе "Единый портал государственных и муниципальных услуг (функций)"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w:t>
      </w:r>
    </w:p>
    <w:p>
      <w:pPr>
        <w:pStyle w:val="0"/>
        <w:jc w:val="both"/>
      </w:pPr>
      <w:r>
        <w:rPr>
          <w:sz w:val="24"/>
        </w:rPr>
        <w:t xml:space="preserve">(п. 17 введен </w:t>
      </w:r>
      <w:hyperlink w:history="0" r:id="rId40"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17.07.2024 N 969)</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w:t>
      </w:r>
      <w:hyperlink w:history="0" r:id="rId41"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N 1</w:t>
        </w:r>
      </w:hyperlink>
    </w:p>
    <w:p>
      <w:pPr>
        <w:pStyle w:val="0"/>
        <w:jc w:val="right"/>
      </w:pPr>
      <w:r>
        <w:rPr>
          <w:sz w:val="24"/>
        </w:rPr>
        <w:t xml:space="preserve">к Правилам проведения</w:t>
      </w:r>
    </w:p>
    <w:p>
      <w:pPr>
        <w:pStyle w:val="0"/>
        <w:jc w:val="right"/>
      </w:pPr>
      <w:r>
        <w:rPr>
          <w:sz w:val="24"/>
        </w:rPr>
        <w:t xml:space="preserve">технического осмотра самоходных</w:t>
      </w:r>
    </w:p>
    <w:p>
      <w:pPr>
        <w:pStyle w:val="0"/>
        <w:jc w:val="right"/>
      </w:pPr>
      <w:r>
        <w:rPr>
          <w:sz w:val="24"/>
        </w:rPr>
        <w:t xml:space="preserve">машин и других видов техники</w:t>
      </w:r>
    </w:p>
    <w:p>
      <w:pPr>
        <w:pStyle w:val="0"/>
        <w:jc w:val="center"/>
      </w:pPr>
      <w:r>
        <w:rPr>
          <w:sz w:val="24"/>
        </w:rPr>
      </w:r>
    </w:p>
    <w:bookmarkStart w:id="134" w:name="P134"/>
    <w:bookmarkEnd w:id="134"/>
    <w:p>
      <w:pPr>
        <w:pStyle w:val="2"/>
        <w:jc w:val="center"/>
      </w:pPr>
      <w:r>
        <w:rPr>
          <w:sz w:val="24"/>
        </w:rPr>
        <w:t xml:space="preserve">ТРЕБОВАНИЯ</w:t>
      </w:r>
    </w:p>
    <w:p>
      <w:pPr>
        <w:pStyle w:val="2"/>
        <w:jc w:val="center"/>
      </w:pPr>
      <w:r>
        <w:rPr>
          <w:sz w:val="24"/>
        </w:rPr>
        <w:t xml:space="preserve">(ВКЛЮЧАЯ ПАРАМЕТРЫ), ПРЕДЪЯВЛЯЕМЫЕ ПРИ ПРОВЕДЕНИИ</w:t>
      </w:r>
    </w:p>
    <w:p>
      <w:pPr>
        <w:pStyle w:val="2"/>
        <w:jc w:val="center"/>
      </w:pPr>
      <w:r>
        <w:rPr>
          <w:sz w:val="24"/>
        </w:rPr>
        <w:t xml:space="preserve">ТЕХНИЧЕСКОГО ОСМОТРА К МАШИНАМ ОТДЕЛЬНЫХ ВИДОВ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2"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color w:val="392c69"/>
              </w:rPr>
              <w:t xml:space="preserve"> Правительства РФ от 23.09.2020 N 1538)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2"/>
        <w:jc w:val="center"/>
      </w:pPr>
      <w:r>
        <w:rPr>
          <w:sz w:val="24"/>
        </w:rPr>
        <w:t xml:space="preserve">I. Тормозные системы</w:t>
      </w:r>
    </w:p>
    <w:p>
      <w:pPr>
        <w:pStyle w:val="0"/>
        <w:ind w:firstLine="540"/>
        <w:jc w:val="both"/>
      </w:pPr>
      <w:r>
        <w:rPr>
          <w:sz w:val="24"/>
        </w:rPr>
      </w:r>
    </w:p>
    <w:p>
      <w:pPr>
        <w:pStyle w:val="0"/>
        <w:ind w:firstLine="540"/>
        <w:jc w:val="both"/>
      </w:pPr>
      <w:r>
        <w:rPr>
          <w:sz w:val="24"/>
        </w:rPr>
        <w:t xml:space="preserve">1. Тормозные системы должны соответствовать показателям эффективности торможения и устойчивости транспортного средства при торможении:</w:t>
      </w:r>
    </w:p>
    <w:p>
      <w:pPr>
        <w:pStyle w:val="0"/>
        <w:spacing w:before="240" w:line-rule="auto"/>
        <w:ind w:firstLine="540"/>
        <w:jc w:val="both"/>
      </w:pPr>
      <w:r>
        <w:rPr>
          <w:sz w:val="24"/>
        </w:rPr>
        <w:t xml:space="preserve">а) для тракторов и машин самоходных сельскохозяйственных - согласно </w:t>
      </w:r>
      <w:hyperlink w:history="0" r:id="rId43" w:tooltip="Ссылка на КонсультантПлюс">
        <w:r>
          <w:rPr>
            <w:sz w:val="24"/>
            <w:color w:val="0000ff"/>
          </w:rPr>
          <w:t xml:space="preserve">пункту 3.17</w:t>
        </w:r>
      </w:hyperlink>
      <w:r>
        <w:rPr>
          <w:sz w:val="24"/>
        </w:rPr>
        <w:t xml:space="preserve"> ГОСТ 12.2.019-2015 "Международный стандарт. Система стандартов безопасности труда. Тракторы и машины самоходные сельскохозяйственные. Общие требования безопасности" (далее - ГОСТ 12.2.019-2015);</w:t>
      </w:r>
    </w:p>
    <w:p>
      <w:pPr>
        <w:pStyle w:val="0"/>
        <w:spacing w:before="240" w:line-rule="auto"/>
        <w:ind w:firstLine="540"/>
        <w:jc w:val="both"/>
      </w:pPr>
      <w:r>
        <w:rPr>
          <w:sz w:val="24"/>
        </w:rPr>
        <w:t xml:space="preserve">б) для тракторов малогабаритных - согласно пункту 4.20 ГОСТ 12.2.140-2004 "Тракторы малогабаритные. Общие требования безопасности" (далее - ГОСТ 12.2.140-2004);</w:t>
      </w:r>
    </w:p>
    <w:p>
      <w:pPr>
        <w:pStyle w:val="0"/>
        <w:spacing w:before="240" w:line-rule="auto"/>
        <w:ind w:firstLine="540"/>
        <w:jc w:val="both"/>
      </w:pPr>
      <w:r>
        <w:rPr>
          <w:sz w:val="24"/>
        </w:rPr>
        <w:t xml:space="preserve">в) для прицепов и полуприцепов тракторных - согласно </w:t>
      </w:r>
      <w:hyperlink w:history="0" r:id="rId44" w:tooltip="Ссылка на КонсультантПлюс">
        <w:r>
          <w:rPr>
            <w:sz w:val="24"/>
            <w:color w:val="0000ff"/>
          </w:rPr>
          <w:t xml:space="preserve">пунктам 5.5</w:t>
        </w:r>
      </w:hyperlink>
      <w:r>
        <w:rPr>
          <w:sz w:val="24"/>
        </w:rPr>
        <w:t xml:space="preserve"> - </w:t>
      </w:r>
      <w:hyperlink w:history="0" r:id="rId45" w:tooltip="Ссылка на КонсультантПлюс">
        <w:r>
          <w:rPr>
            <w:sz w:val="24"/>
            <w:color w:val="0000ff"/>
          </w:rPr>
          <w:t xml:space="preserve">5.8</w:t>
        </w:r>
      </w:hyperlink>
      <w:r>
        <w:rPr>
          <w:sz w:val="24"/>
        </w:rPr>
        <w:t xml:space="preserve"> ГОСТ 10000-2017 "Межгосударственный стандарт. Прицепы и полуприцепы тракторные. Общие технические требования";</w:t>
      </w:r>
    </w:p>
    <w:p>
      <w:pPr>
        <w:pStyle w:val="0"/>
        <w:spacing w:before="240" w:line-rule="auto"/>
        <w:ind w:firstLine="540"/>
        <w:jc w:val="both"/>
      </w:pPr>
      <w:r>
        <w:rPr>
          <w:sz w:val="24"/>
        </w:rPr>
        <w:t xml:space="preserve">г) для самоходных дорожно-строительных машин - согласно </w:t>
      </w:r>
      <w:hyperlink w:history="0" r:id="rId46" w:tooltip="Ссылка на КонсультантПлюс">
        <w:r>
          <w:rPr>
            <w:sz w:val="24"/>
            <w:color w:val="0000ff"/>
          </w:rPr>
          <w:t xml:space="preserve">пунктам 4.3</w:t>
        </w:r>
      </w:hyperlink>
      <w:r>
        <w:rPr>
          <w:sz w:val="24"/>
        </w:rPr>
        <w:t xml:space="preserve"> - </w:t>
      </w:r>
      <w:hyperlink w:history="0" r:id="rId47" w:tooltip="Ссылка на КонсультантПлюс">
        <w:r>
          <w:rPr>
            <w:sz w:val="24"/>
            <w:color w:val="0000ff"/>
          </w:rPr>
          <w:t xml:space="preserve">4.5</w:t>
        </w:r>
      </w:hyperlink>
      <w:r>
        <w:rPr>
          <w:sz w:val="24"/>
        </w:rPr>
        <w:t xml:space="preserve"> ГОСТ Р ИСО 3450-99 "Машины землеройные. Тормозные системы колесных машин. Требования к эффективности и методы испытаний";</w:t>
      </w:r>
    </w:p>
    <w:p>
      <w:pPr>
        <w:pStyle w:val="0"/>
        <w:spacing w:before="240" w:line-rule="auto"/>
        <w:ind w:firstLine="540"/>
        <w:jc w:val="both"/>
      </w:pPr>
      <w:r>
        <w:rPr>
          <w:sz w:val="24"/>
        </w:rPr>
        <w:t xml:space="preserve">д) для лесопромышленных и лесохозяйственных колесных тракторов, лесозаготовительных и лесохозяйственных колесных машин - согласно </w:t>
      </w:r>
      <w:hyperlink w:history="0" r:id="rId48" w:tooltip="Ссылка на КонсультантПлюс">
        <w:r>
          <w:rPr>
            <w:sz w:val="24"/>
            <w:color w:val="0000ff"/>
          </w:rPr>
          <w:t xml:space="preserve">пунктам 7.5</w:t>
        </w:r>
      </w:hyperlink>
      <w:r>
        <w:rPr>
          <w:sz w:val="24"/>
        </w:rPr>
        <w:t xml:space="preserve"> и </w:t>
      </w:r>
      <w:hyperlink w:history="0" r:id="rId49" w:tooltip="Ссылка на КонсультантПлюс">
        <w:r>
          <w:rPr>
            <w:sz w:val="24"/>
            <w:color w:val="0000ff"/>
          </w:rPr>
          <w:t xml:space="preserve">7.6</w:t>
        </w:r>
      </w:hyperlink>
      <w:r>
        <w:rPr>
          <w:sz w:val="24"/>
        </w:rPr>
        <w:t xml:space="preserve"> ГОСТ ИСО 11169-2011 "Межгосударственный стандарт. Тракторы лесопромышленные и лесохозяйственные колесные, машины лесозаготовительные и лесохозяйственные колесные. Требования к эффективности и методы испытаний тормозных систем";</w:t>
      </w:r>
    </w:p>
    <w:p>
      <w:pPr>
        <w:pStyle w:val="0"/>
        <w:spacing w:before="240" w:line-rule="auto"/>
        <w:ind w:firstLine="540"/>
        <w:jc w:val="both"/>
      </w:pPr>
      <w:r>
        <w:rPr>
          <w:sz w:val="24"/>
        </w:rPr>
        <w:t xml:space="preserve">е) для лесопромышленных и лесохозяйственных гусеничных тракторов, лесозаготовительных и лесохозяйственных гусеничных машин - согласно пунктам 6.1.1 и 6.1.2 ГОСТ Р ИСО 11512 - 2011 "Тракторы лесопромышленные и лесохозяйственные гусеничные, машины лесозаготовительные и лесохозяйственные гусеничные. Требования к эффективности и методы испытаний тормозных систем";</w:t>
      </w:r>
    </w:p>
    <w:p>
      <w:pPr>
        <w:pStyle w:val="0"/>
        <w:spacing w:before="240" w:line-rule="auto"/>
        <w:ind w:firstLine="540"/>
        <w:jc w:val="both"/>
      </w:pPr>
      <w:r>
        <w:rPr>
          <w:sz w:val="24"/>
        </w:rPr>
        <w:t xml:space="preserve">ж) для снегоходов - согласно </w:t>
      </w:r>
      <w:hyperlink w:history="0" r:id="rId50" w:tooltip="Ссылка на КонсультантПлюс">
        <w:r>
          <w:rPr>
            <w:sz w:val="24"/>
            <w:color w:val="0000ff"/>
          </w:rPr>
          <w:t xml:space="preserve">пункту 4.1</w:t>
        </w:r>
      </w:hyperlink>
      <w:r>
        <w:rPr>
          <w:sz w:val="24"/>
        </w:rPr>
        <w:t xml:space="preserve"> ГОСТ 34066-2017 "Межгосударственный стандарт. Снегоходы. Технические требования и методы испытаний" (далее - ГОСТ 34066-2017);</w:t>
      </w:r>
    </w:p>
    <w:p>
      <w:pPr>
        <w:pStyle w:val="0"/>
        <w:spacing w:before="240" w:line-rule="auto"/>
        <w:ind w:firstLine="540"/>
        <w:jc w:val="both"/>
      </w:pPr>
      <w:r>
        <w:rPr>
          <w:sz w:val="24"/>
        </w:rPr>
        <w:t xml:space="preserve">з) для снегоболотоходов - согласно </w:t>
      </w:r>
      <w:hyperlink w:history="0" r:id="rId51" w:tooltip="Ссылка на КонсультантПлюс">
        <w:r>
          <w:rPr>
            <w:sz w:val="24"/>
            <w:color w:val="0000ff"/>
          </w:rPr>
          <w:t xml:space="preserve">пункту 4.1</w:t>
        </w:r>
      </w:hyperlink>
      <w:r>
        <w:rPr>
          <w:sz w:val="24"/>
        </w:rPr>
        <w:t xml:space="preserve"> ГОСТ 34065-2017 "Межгосударственный стандарт. Снегоболотоходы. Технические требования и методы испытаний" (далее - ГОСТ 34065-2017);</w:t>
      </w:r>
    </w:p>
    <w:p>
      <w:pPr>
        <w:pStyle w:val="0"/>
        <w:spacing w:before="240" w:line-rule="auto"/>
        <w:ind w:firstLine="540"/>
        <w:jc w:val="both"/>
      </w:pPr>
      <w:r>
        <w:rPr>
          <w:sz w:val="24"/>
        </w:rPr>
        <w:t xml:space="preserve">и) для квадрициклов - согласно </w:t>
      </w:r>
      <w:hyperlink w:history="0" r:id="rId52" w:tooltip="Ссылка на КонсультантПлюс">
        <w:r>
          <w:rPr>
            <w:sz w:val="24"/>
            <w:color w:val="0000ff"/>
          </w:rPr>
          <w:t xml:space="preserve">пункту 4.3</w:t>
        </w:r>
      </w:hyperlink>
      <w:r>
        <w:rPr>
          <w:sz w:val="24"/>
        </w:rPr>
        <w:t xml:space="preserve"> ГОСТ Р 51815-2001 "Государственный стандарт Российской Федерации. Квадрициклы. Общие технические требования" (далее - ГОСТ Р 51815-2001);</w:t>
      </w:r>
    </w:p>
    <w:p>
      <w:pPr>
        <w:pStyle w:val="0"/>
        <w:spacing w:before="240" w:line-rule="auto"/>
        <w:ind w:firstLine="540"/>
        <w:jc w:val="both"/>
      </w:pPr>
      <w:r>
        <w:rPr>
          <w:sz w:val="24"/>
        </w:rPr>
        <w:t xml:space="preserve">к) для мотовездеходов - согласно </w:t>
      </w:r>
      <w:hyperlink w:history="0" r:id="rId53" w:tooltip="Ссылка на КонсультантПлюс">
        <w:r>
          <w:rPr>
            <w:sz w:val="24"/>
            <w:color w:val="0000ff"/>
          </w:rPr>
          <w:t xml:space="preserve">пунктам 4.1</w:t>
        </w:r>
      </w:hyperlink>
      <w:r>
        <w:rPr>
          <w:sz w:val="24"/>
        </w:rPr>
        <w:t xml:space="preserve"> - </w:t>
      </w:r>
      <w:hyperlink w:history="0" r:id="rId54" w:tooltip="Ссылка на КонсультантПлюс">
        <w:r>
          <w:rPr>
            <w:sz w:val="24"/>
            <w:color w:val="0000ff"/>
          </w:rPr>
          <w:t xml:space="preserve">4.2</w:t>
        </w:r>
      </w:hyperlink>
      <w:r>
        <w:rPr>
          <w:sz w:val="24"/>
        </w:rPr>
        <w:t xml:space="preserve"> ГОСТ Р 52008-2003 "Государственный стандарт Российской Федерации. Средства мототранспортные четырехколесные внедорожные. Общие технические требования" (далее - ГОСТ Р 52008-2003);</w:t>
      </w:r>
    </w:p>
    <w:p>
      <w:pPr>
        <w:pStyle w:val="0"/>
        <w:spacing w:before="240" w:line-rule="auto"/>
        <w:ind w:firstLine="540"/>
        <w:jc w:val="both"/>
      </w:pPr>
      <w:r>
        <w:rPr>
          <w:sz w:val="24"/>
        </w:rPr>
        <w:t xml:space="preserve">л) для погрузчиков, штабелеров - согласно </w:t>
      </w:r>
      <w:hyperlink w:history="0" r:id="rId55" w:tooltip="Ссылка на КонсультантПлюс">
        <w:r>
          <w:rPr>
            <w:sz w:val="24"/>
            <w:color w:val="0000ff"/>
          </w:rPr>
          <w:t xml:space="preserve">пунктам 3.2</w:t>
        </w:r>
      </w:hyperlink>
      <w:r>
        <w:rPr>
          <w:sz w:val="24"/>
        </w:rPr>
        <w:t xml:space="preserve"> и 4.14 ГОСТ Р 51348-99 "Транспорт напольный безрельсовый. Системы тормозные. Технические требования".</w:t>
      </w:r>
    </w:p>
    <w:p>
      <w:pPr>
        <w:pStyle w:val="0"/>
        <w:jc w:val="both"/>
      </w:pPr>
      <w:r>
        <w:rPr>
          <w:sz w:val="24"/>
        </w:rPr>
        <w:t xml:space="preserve">(п. 1 в ред. </w:t>
      </w:r>
      <w:hyperlink w:history="0" r:id="rId56"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2. Рабочая тормозная система тракторных поездов с пневматическим тормозным приводом в режиме аварийного (автоматического) торможения должна быть работоспособна.</w:t>
      </w:r>
    </w:p>
    <w:p>
      <w:pPr>
        <w:pStyle w:val="0"/>
        <w:spacing w:before="240" w:line-rule="auto"/>
        <w:ind w:firstLine="540"/>
        <w:jc w:val="both"/>
      </w:pPr>
      <w:r>
        <w:rPr>
          <w:sz w:val="24"/>
        </w:rPr>
        <w:t xml:space="preserve">3. Утечка сжатого воздуха из соединений и элементов тормозной системы не допускается.</w:t>
      </w:r>
    </w:p>
    <w:p>
      <w:pPr>
        <w:pStyle w:val="0"/>
        <w:spacing w:before="240" w:line-rule="auto"/>
        <w:ind w:firstLine="540"/>
        <w:jc w:val="both"/>
      </w:pPr>
      <w:r>
        <w:rPr>
          <w:sz w:val="24"/>
        </w:rPr>
        <w:t xml:space="preserve">4. Подтекание тормозной жидкости и (или) нарушение герметичности трубопроводов либо соединений в гидравлическом тормозном приводе не допускаются.</w:t>
      </w:r>
    </w:p>
    <w:p>
      <w:pPr>
        <w:pStyle w:val="0"/>
        <w:spacing w:before="240" w:line-rule="auto"/>
        <w:ind w:firstLine="540"/>
        <w:jc w:val="both"/>
      </w:pPr>
      <w:r>
        <w:rPr>
          <w:sz w:val="24"/>
        </w:rPr>
        <w:t xml:space="preserve">5. Коррозия, грозящая потерей герметичности или разрушением, не допускается.</w:t>
      </w:r>
    </w:p>
    <w:p>
      <w:pPr>
        <w:pStyle w:val="0"/>
        <w:spacing w:before="240" w:line-rule="auto"/>
        <w:ind w:firstLine="540"/>
        <w:jc w:val="both"/>
      </w:pPr>
      <w:r>
        <w:rPr>
          <w:sz w:val="24"/>
        </w:rPr>
        <w:t xml:space="preserve">6. Механическое повреждение тормозных трубопроводов не допускается.</w:t>
      </w:r>
    </w:p>
    <w:p>
      <w:pPr>
        <w:pStyle w:val="0"/>
        <w:spacing w:before="240" w:line-rule="auto"/>
        <w:ind w:firstLine="540"/>
        <w:jc w:val="both"/>
      </w:pPr>
      <w:r>
        <w:rPr>
          <w:sz w:val="24"/>
        </w:rPr>
        <w:t xml:space="preserve">7. Наличие деталей с трещинами или остаточной деформацией в тормозном приводе не допускается.</w:t>
      </w:r>
    </w:p>
    <w:p>
      <w:pPr>
        <w:pStyle w:val="0"/>
        <w:spacing w:before="240" w:line-rule="auto"/>
        <w:ind w:firstLine="540"/>
        <w:jc w:val="both"/>
      </w:pPr>
      <w:r>
        <w:rPr>
          <w:sz w:val="24"/>
        </w:rPr>
        <w:t xml:space="preserve">8. Средства сигнализации и контроля тормозных систем, манометры пневматического и пневмогидравлического тормозного привода и устройство фиксации органа управления стояночной тормозной системы должны быть работоспособны.</w:t>
      </w:r>
    </w:p>
    <w:p>
      <w:pPr>
        <w:pStyle w:val="0"/>
        <w:spacing w:before="240" w:line-rule="auto"/>
        <w:ind w:firstLine="540"/>
        <w:jc w:val="both"/>
      </w:pPr>
      <w:r>
        <w:rPr>
          <w:sz w:val="24"/>
        </w:rPr>
        <w:t xml:space="preserve">9. Набухание тормозных шлангов под давлением и (или) наличие трещин на них и видимых мест перетирания не допускаются.</w:t>
      </w:r>
    </w:p>
    <w:p>
      <w:pPr>
        <w:pStyle w:val="0"/>
        <w:spacing w:before="240" w:line-rule="auto"/>
        <w:ind w:firstLine="540"/>
        <w:jc w:val="both"/>
      </w:pPr>
      <w:r>
        <w:rPr>
          <w:sz w:val="24"/>
        </w:rPr>
        <w:t xml:space="preserve">10. Расположение и длина соединительных шлангов пневматического тормозного привода тракторных поездов должны исключать их повреждение при взаимном перемещении трактора и прицепа (полуприцепа).</w:t>
      </w:r>
    </w:p>
    <w:p>
      <w:pPr>
        <w:pStyle w:val="0"/>
        <w:jc w:val="center"/>
      </w:pPr>
      <w:r>
        <w:rPr>
          <w:sz w:val="24"/>
        </w:rPr>
      </w:r>
    </w:p>
    <w:p>
      <w:pPr>
        <w:pStyle w:val="2"/>
        <w:outlineLvl w:val="2"/>
        <w:jc w:val="center"/>
      </w:pPr>
      <w:r>
        <w:rPr>
          <w:sz w:val="24"/>
        </w:rPr>
        <w:t xml:space="preserve">II. Рулевое управление</w:t>
      </w:r>
    </w:p>
    <w:p>
      <w:pPr>
        <w:pStyle w:val="0"/>
        <w:jc w:val="center"/>
      </w:pPr>
      <w:r>
        <w:rPr>
          <w:sz w:val="24"/>
        </w:rPr>
      </w:r>
    </w:p>
    <w:p>
      <w:pPr>
        <w:pStyle w:val="0"/>
        <w:ind w:firstLine="540"/>
        <w:jc w:val="both"/>
      </w:pPr>
      <w:r>
        <w:rPr>
          <w:sz w:val="24"/>
        </w:rPr>
        <w:t xml:space="preserve">11. Изменение усилия при повороте рулевого колеса должно быть плавным во всем диапазоне угла его поворота. Неработоспособность усилителя рулевого управления (при его наличии) не допускается.</w:t>
      </w:r>
    </w:p>
    <w:p>
      <w:pPr>
        <w:pStyle w:val="0"/>
        <w:spacing w:before="240" w:line-rule="auto"/>
        <w:ind w:firstLine="540"/>
        <w:jc w:val="both"/>
      </w:pPr>
      <w:r>
        <w:rPr>
          <w:sz w:val="24"/>
        </w:rPr>
        <w:t xml:space="preserve">12. Самопроизвольный поворот рулевого колеса с усилителем рулевого управления от нейтрального положения при работающем двигателе не допускается.</w:t>
      </w:r>
    </w:p>
    <w:p>
      <w:pPr>
        <w:pStyle w:val="0"/>
        <w:spacing w:before="240" w:line-rule="auto"/>
        <w:ind w:firstLine="540"/>
        <w:jc w:val="both"/>
      </w:pPr>
      <w:r>
        <w:rPr>
          <w:sz w:val="24"/>
        </w:rPr>
        <w:t xml:space="preserve">13. Суммарный люфт в рулевом управлении не должен превышать предельные значения, установленные изготовителем в эксплуатационной документации, или в случае отсутствия данных, установленных изготовителем, - следующие предельные значения:</w:t>
      </w:r>
    </w:p>
    <w:p>
      <w:pPr>
        <w:pStyle w:val="0"/>
        <w:spacing w:before="240" w:line-rule="auto"/>
        <w:ind w:firstLine="540"/>
        <w:jc w:val="both"/>
      </w:pPr>
      <w:r>
        <w:rPr>
          <w:sz w:val="24"/>
        </w:rPr>
        <w:t xml:space="preserve">для тракторов, включая малогабаритные, и самоходных сельскохозяйственных машин - не более 25 градусов;</w:t>
      </w:r>
    </w:p>
    <w:p>
      <w:pPr>
        <w:pStyle w:val="0"/>
        <w:spacing w:before="240" w:line-rule="auto"/>
        <w:ind w:firstLine="540"/>
        <w:jc w:val="both"/>
      </w:pPr>
      <w:r>
        <w:rPr>
          <w:sz w:val="24"/>
        </w:rPr>
        <w:t xml:space="preserve">для снегоходов и снегоболотоходов - не более 15 градусов.</w:t>
      </w:r>
    </w:p>
    <w:p>
      <w:pPr>
        <w:pStyle w:val="0"/>
        <w:spacing w:before="240" w:line-rule="auto"/>
        <w:ind w:firstLine="540"/>
        <w:jc w:val="both"/>
      </w:pPr>
      <w:r>
        <w:rPr>
          <w:sz w:val="24"/>
        </w:rPr>
        <w:t xml:space="preserve">14. Повреждение и отсутствие деталей крепления рулевой колонки и картера рулевого механизма, а также повышение подвижности деталей рулевого привода относительно друг друга или кузова (рамы), не предусмотренное изготовителем (в эксплуатационной документации), не допускаются. Резьбовые соединения должны быть затянуты и зафиксированы способом, предусмотренным изготовителем. Люфт в соединениях рычагов поворотных цапф и шарнирах рулевых тяг не допускается. Устройство фиксации положения рулевой колонки с регулируемым положением рулевого колеса должно быть работоспособно.</w:t>
      </w:r>
    </w:p>
    <w:p>
      <w:pPr>
        <w:pStyle w:val="0"/>
        <w:spacing w:before="240" w:line-rule="auto"/>
        <w:ind w:firstLine="540"/>
        <w:jc w:val="both"/>
      </w:pPr>
      <w:r>
        <w:rPr>
          <w:sz w:val="24"/>
        </w:rPr>
        <w:t xml:space="preserve">15. Применение в рулевом механизме и рулевом приводе деталей со следами остаточной деформации, с трещинами и другими дефектами не допускается.</w:t>
      </w:r>
    </w:p>
    <w:p>
      <w:pPr>
        <w:pStyle w:val="0"/>
        <w:spacing w:before="240" w:line-rule="auto"/>
        <w:ind w:firstLine="540"/>
        <w:jc w:val="both"/>
      </w:pPr>
      <w:r>
        <w:rPr>
          <w:sz w:val="24"/>
        </w:rPr>
        <w:t xml:space="preserve">16. Максимальный угол поворота рулевого колеса (руля) должен ограничиваться только устройствами, предусмотренными конструкцией машины.</w:t>
      </w:r>
    </w:p>
    <w:p>
      <w:pPr>
        <w:pStyle w:val="0"/>
        <w:jc w:val="center"/>
      </w:pPr>
      <w:r>
        <w:rPr>
          <w:sz w:val="24"/>
        </w:rPr>
      </w:r>
    </w:p>
    <w:p>
      <w:pPr>
        <w:pStyle w:val="2"/>
        <w:outlineLvl w:val="2"/>
        <w:jc w:val="center"/>
      </w:pPr>
      <w:r>
        <w:rPr>
          <w:sz w:val="24"/>
        </w:rPr>
        <w:t xml:space="preserve">III. Механизм управления машин на гусеничном ходу</w:t>
      </w:r>
    </w:p>
    <w:p>
      <w:pPr>
        <w:pStyle w:val="0"/>
        <w:jc w:val="center"/>
      </w:pPr>
      <w:r>
        <w:rPr>
          <w:sz w:val="24"/>
        </w:rPr>
      </w:r>
    </w:p>
    <w:p>
      <w:pPr>
        <w:pStyle w:val="0"/>
        <w:ind w:firstLine="540"/>
        <w:jc w:val="both"/>
      </w:pPr>
      <w:r>
        <w:rPr>
          <w:sz w:val="24"/>
        </w:rPr>
        <w:t xml:space="preserve">17. Свободный ход рукояток рычагов управления муфтами поворота не должен отклоняться от значений, допускаемых изготовителем.</w:t>
      </w:r>
    </w:p>
    <w:p>
      <w:pPr>
        <w:pStyle w:val="0"/>
        <w:spacing w:before="240" w:line-rule="auto"/>
        <w:ind w:firstLine="540"/>
        <w:jc w:val="both"/>
      </w:pPr>
      <w:r>
        <w:rPr>
          <w:sz w:val="24"/>
        </w:rPr>
        <w:t xml:space="preserve">18. Должен обеспечиваться полный разрыв потока мощности в сторону поворота при полном перемещении рычага управления на себя.</w:t>
      </w:r>
    </w:p>
    <w:p>
      <w:pPr>
        <w:pStyle w:val="0"/>
        <w:spacing w:before="240" w:line-rule="auto"/>
        <w:ind w:firstLine="540"/>
        <w:jc w:val="both"/>
      </w:pPr>
      <w:r>
        <w:rPr>
          <w:sz w:val="24"/>
        </w:rPr>
        <w:t xml:space="preserve">19. Свободный ход тормозных педалей не должен превышать значения, установленные изготовителем.</w:t>
      </w:r>
    </w:p>
    <w:p>
      <w:pPr>
        <w:pStyle w:val="0"/>
        <w:spacing w:before="240" w:line-rule="auto"/>
        <w:ind w:firstLine="540"/>
        <w:jc w:val="both"/>
      </w:pPr>
      <w:r>
        <w:rPr>
          <w:sz w:val="24"/>
        </w:rPr>
        <w:t xml:space="preserve">20. Различная величина свободного хода тормозных педалей не допускается.</w:t>
      </w:r>
    </w:p>
    <w:p>
      <w:pPr>
        <w:pStyle w:val="0"/>
        <w:jc w:val="center"/>
      </w:pPr>
      <w:r>
        <w:rPr>
          <w:sz w:val="24"/>
        </w:rPr>
      </w:r>
    </w:p>
    <w:p>
      <w:pPr>
        <w:pStyle w:val="2"/>
        <w:outlineLvl w:val="2"/>
        <w:jc w:val="center"/>
      </w:pPr>
      <w:r>
        <w:rPr>
          <w:sz w:val="24"/>
        </w:rPr>
        <w:t xml:space="preserve">IV. Внешние световые приборы</w:t>
      </w:r>
    </w:p>
    <w:p>
      <w:pPr>
        <w:pStyle w:val="0"/>
        <w:jc w:val="center"/>
      </w:pPr>
      <w:r>
        <w:rPr>
          <w:sz w:val="24"/>
        </w:rPr>
      </w:r>
    </w:p>
    <w:p>
      <w:pPr>
        <w:pStyle w:val="0"/>
        <w:ind w:firstLine="540"/>
        <w:jc w:val="both"/>
      </w:pPr>
      <w:r>
        <w:rPr>
          <w:sz w:val="24"/>
        </w:rPr>
        <w:t xml:space="preserve">21. Применение устройств освещения и световой сигнализации определяется:</w:t>
      </w:r>
    </w:p>
    <w:p>
      <w:pPr>
        <w:pStyle w:val="0"/>
        <w:spacing w:before="240" w:line-rule="auto"/>
        <w:ind w:firstLine="540"/>
        <w:jc w:val="both"/>
      </w:pPr>
      <w:r>
        <w:rPr>
          <w:sz w:val="24"/>
        </w:rPr>
        <w:t xml:space="preserve">а) для сельскохозяйственных и лесных тракторов - </w:t>
      </w:r>
      <w:hyperlink w:history="0" r:id="rId57" w:tooltip="Ссылка на КонсультантПлюс">
        <w:r>
          <w:rPr>
            <w:sz w:val="24"/>
            <w:color w:val="0000ff"/>
          </w:rPr>
          <w:t xml:space="preserve">пунктами 5.1</w:t>
        </w:r>
      </w:hyperlink>
      <w:r>
        <w:rPr>
          <w:sz w:val="24"/>
        </w:rPr>
        <w:t xml:space="preserve"> - </w:t>
      </w:r>
      <w:hyperlink w:history="0" r:id="rId58" w:tooltip="Ссылка на КонсультантПлюс">
        <w:r>
          <w:rPr>
            <w:sz w:val="24"/>
            <w:color w:val="0000ff"/>
          </w:rPr>
          <w:t xml:space="preserve">5.6</w:t>
        </w:r>
      </w:hyperlink>
      <w:r>
        <w:rPr>
          <w:sz w:val="24"/>
        </w:rPr>
        <w:t xml:space="preserve"> ГОСТ 12.2.019-2015;</w:t>
      </w:r>
    </w:p>
    <w:p>
      <w:pPr>
        <w:pStyle w:val="0"/>
        <w:spacing w:before="240" w:line-rule="auto"/>
        <w:ind w:firstLine="540"/>
        <w:jc w:val="both"/>
      </w:pPr>
      <w:r>
        <w:rPr>
          <w:sz w:val="24"/>
        </w:rPr>
        <w:t xml:space="preserve">б) для тракторов малогабаритных - пунктами 8.2 и 8.3 ГОСТ 12.2.140-2004;</w:t>
      </w:r>
    </w:p>
    <w:p>
      <w:pPr>
        <w:pStyle w:val="0"/>
        <w:spacing w:before="240" w:line-rule="auto"/>
        <w:ind w:firstLine="540"/>
        <w:jc w:val="both"/>
      </w:pPr>
      <w:r>
        <w:rPr>
          <w:sz w:val="24"/>
        </w:rPr>
        <w:t xml:space="preserve">в) для самоходных сельскохозяйственных машин - </w:t>
      </w:r>
      <w:hyperlink w:history="0" r:id="rId59" w:tooltip="Ссылка на КонсультантПлюс">
        <w:r>
          <w:rPr>
            <w:sz w:val="24"/>
            <w:color w:val="0000ff"/>
          </w:rPr>
          <w:t xml:space="preserve">пунктами 3.2</w:t>
        </w:r>
      </w:hyperlink>
      <w:r>
        <w:rPr>
          <w:sz w:val="24"/>
        </w:rPr>
        <w:t xml:space="preserve"> - </w:t>
      </w:r>
      <w:hyperlink w:history="0" r:id="rId60" w:tooltip="Ссылка на КонсультантПлюс">
        <w:r>
          <w:rPr>
            <w:sz w:val="24"/>
            <w:color w:val="0000ff"/>
          </w:rPr>
          <w:t xml:space="preserve">3.12</w:t>
        </w:r>
      </w:hyperlink>
      <w:r>
        <w:rPr>
          <w:sz w:val="24"/>
        </w:rPr>
        <w:t xml:space="preserve"> ГОСТ 32431-2013 (ISO 16154:2005) "Межгосударственный стандарт. Машины для сельского и лесного хозяйства. Монтаж устройств освещения и световой сигнализации для проезда по дорогам общего пользования" (далее - ГОСТ 32431-2013);</w:t>
      </w:r>
    </w:p>
    <w:p>
      <w:pPr>
        <w:pStyle w:val="0"/>
        <w:spacing w:before="240" w:line-rule="auto"/>
        <w:ind w:firstLine="540"/>
        <w:jc w:val="both"/>
      </w:pPr>
      <w:r>
        <w:rPr>
          <w:sz w:val="24"/>
        </w:rPr>
        <w:t xml:space="preserve">г) для прицепов и полуприцепов тракторных - </w:t>
      </w:r>
      <w:hyperlink w:history="0" r:id="rId61" w:tooltip="Ссылка на КонсультантПлюс">
        <w:r>
          <w:rPr>
            <w:sz w:val="24"/>
            <w:color w:val="0000ff"/>
          </w:rPr>
          <w:t xml:space="preserve">пунктами 3.2</w:t>
        </w:r>
      </w:hyperlink>
      <w:r>
        <w:rPr>
          <w:sz w:val="24"/>
        </w:rPr>
        <w:t xml:space="preserve"> - </w:t>
      </w:r>
      <w:hyperlink w:history="0" r:id="rId62" w:tooltip="Ссылка на КонсультантПлюс">
        <w:r>
          <w:rPr>
            <w:sz w:val="24"/>
            <w:color w:val="0000ff"/>
          </w:rPr>
          <w:t xml:space="preserve">3.12</w:t>
        </w:r>
      </w:hyperlink>
      <w:r>
        <w:rPr>
          <w:sz w:val="24"/>
        </w:rPr>
        <w:t xml:space="preserve"> ГОСТ 32431-2013;</w:t>
      </w:r>
    </w:p>
    <w:p>
      <w:pPr>
        <w:pStyle w:val="0"/>
        <w:spacing w:before="240" w:line-rule="auto"/>
        <w:ind w:firstLine="540"/>
        <w:jc w:val="both"/>
      </w:pPr>
      <w:r>
        <w:rPr>
          <w:sz w:val="24"/>
        </w:rPr>
        <w:t xml:space="preserve">д) для снегоходов - </w:t>
      </w:r>
      <w:hyperlink w:history="0" r:id="rId63" w:tooltip="Ссылка на КонсультантПлюс">
        <w:r>
          <w:rPr>
            <w:sz w:val="24"/>
            <w:color w:val="0000ff"/>
          </w:rPr>
          <w:t xml:space="preserve">пунктами 4.5.1</w:t>
        </w:r>
      </w:hyperlink>
      <w:r>
        <w:rPr>
          <w:sz w:val="24"/>
        </w:rPr>
        <w:t xml:space="preserve"> - </w:t>
      </w:r>
      <w:hyperlink w:history="0" r:id="rId64" w:tooltip="Ссылка на КонсультантПлюс">
        <w:r>
          <w:rPr>
            <w:sz w:val="24"/>
            <w:color w:val="0000ff"/>
          </w:rPr>
          <w:t xml:space="preserve">4.5.5</w:t>
        </w:r>
      </w:hyperlink>
      <w:r>
        <w:rPr>
          <w:sz w:val="24"/>
        </w:rPr>
        <w:t xml:space="preserve"> ГОСТ 34066-2017;</w:t>
      </w:r>
    </w:p>
    <w:p>
      <w:pPr>
        <w:pStyle w:val="0"/>
        <w:spacing w:before="240" w:line-rule="auto"/>
        <w:ind w:firstLine="540"/>
        <w:jc w:val="both"/>
      </w:pPr>
      <w:r>
        <w:rPr>
          <w:sz w:val="24"/>
        </w:rPr>
        <w:t xml:space="preserve">е) для снегоболотоходов - </w:t>
      </w:r>
      <w:hyperlink w:history="0" r:id="rId65" w:tooltip="Ссылка на КонсультантПлюс">
        <w:r>
          <w:rPr>
            <w:sz w:val="24"/>
            <w:color w:val="0000ff"/>
          </w:rPr>
          <w:t xml:space="preserve">пунктами 4.5.1</w:t>
        </w:r>
      </w:hyperlink>
      <w:r>
        <w:rPr>
          <w:sz w:val="24"/>
        </w:rPr>
        <w:t xml:space="preserve"> - </w:t>
      </w:r>
      <w:hyperlink w:history="0" r:id="rId66" w:tooltip="Ссылка на КонсультантПлюс">
        <w:r>
          <w:rPr>
            <w:sz w:val="24"/>
            <w:color w:val="0000ff"/>
          </w:rPr>
          <w:t xml:space="preserve">4.5.5</w:t>
        </w:r>
      </w:hyperlink>
      <w:r>
        <w:rPr>
          <w:sz w:val="24"/>
        </w:rPr>
        <w:t xml:space="preserve"> ГОСТ 34065-2017;</w:t>
      </w:r>
    </w:p>
    <w:p>
      <w:pPr>
        <w:pStyle w:val="0"/>
        <w:spacing w:before="240" w:line-rule="auto"/>
        <w:ind w:firstLine="540"/>
        <w:jc w:val="both"/>
      </w:pPr>
      <w:r>
        <w:rPr>
          <w:sz w:val="24"/>
        </w:rPr>
        <w:t xml:space="preserve">ж) для квадрициклов - </w:t>
      </w:r>
      <w:hyperlink w:history="0" r:id="rId67" w:tooltip="Ссылка на КонсультантПлюс">
        <w:r>
          <w:rPr>
            <w:sz w:val="24"/>
            <w:color w:val="0000ff"/>
          </w:rPr>
          <w:t xml:space="preserve">пунктами 4.1</w:t>
        </w:r>
      </w:hyperlink>
      <w:r>
        <w:rPr>
          <w:sz w:val="24"/>
        </w:rPr>
        <w:t xml:space="preserve"> и </w:t>
      </w:r>
      <w:hyperlink w:history="0" r:id="rId68" w:tooltip="Ссылка на КонсультантПлюс">
        <w:r>
          <w:rPr>
            <w:sz w:val="24"/>
            <w:color w:val="0000ff"/>
          </w:rPr>
          <w:t xml:space="preserve">4.2</w:t>
        </w:r>
      </w:hyperlink>
      <w:r>
        <w:rPr>
          <w:sz w:val="24"/>
        </w:rPr>
        <w:t xml:space="preserve"> ГОСТ Р 51815-2001;</w:t>
      </w:r>
    </w:p>
    <w:p>
      <w:pPr>
        <w:pStyle w:val="0"/>
        <w:spacing w:before="240" w:line-rule="auto"/>
        <w:ind w:firstLine="540"/>
        <w:jc w:val="both"/>
      </w:pPr>
      <w:r>
        <w:rPr>
          <w:sz w:val="24"/>
        </w:rPr>
        <w:t xml:space="preserve">з) для мотовездеходов - </w:t>
      </w:r>
      <w:hyperlink w:history="0" r:id="rId69" w:tooltip="Ссылка на КонсультантПлюс">
        <w:r>
          <w:rPr>
            <w:sz w:val="24"/>
            <w:color w:val="0000ff"/>
          </w:rPr>
          <w:t xml:space="preserve">пунктами 4.16</w:t>
        </w:r>
      </w:hyperlink>
      <w:r>
        <w:rPr>
          <w:sz w:val="24"/>
        </w:rPr>
        <w:t xml:space="preserve"> и </w:t>
      </w:r>
      <w:hyperlink w:history="0" r:id="rId70" w:tooltip="Ссылка на КонсультантПлюс">
        <w:r>
          <w:rPr>
            <w:sz w:val="24"/>
            <w:color w:val="0000ff"/>
          </w:rPr>
          <w:t xml:space="preserve">4.16.1</w:t>
        </w:r>
      </w:hyperlink>
      <w:r>
        <w:rPr>
          <w:sz w:val="24"/>
        </w:rPr>
        <w:t xml:space="preserve"> ГОСТ Р 52008-2003.</w:t>
      </w:r>
    </w:p>
    <w:p>
      <w:pPr>
        <w:pStyle w:val="0"/>
        <w:jc w:val="both"/>
      </w:pPr>
      <w:r>
        <w:rPr>
          <w:sz w:val="24"/>
        </w:rPr>
        <w:t xml:space="preserve">(п. 21 в ред. </w:t>
      </w:r>
      <w:hyperlink w:history="0" r:id="rId71"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22. Разрушение и отсутствие рассеивателей световых приборов либо использование рассеивателей и ламп, не соответствующих типу данного светового прибора, не допускаются.</w:t>
      </w:r>
    </w:p>
    <w:p>
      <w:pPr>
        <w:pStyle w:val="0"/>
        <w:spacing w:before="240" w:line-rule="auto"/>
        <w:ind w:firstLine="540"/>
        <w:jc w:val="both"/>
      </w:pPr>
      <w:r>
        <w:rPr>
          <w:sz w:val="24"/>
        </w:rPr>
        <w:t xml:space="preserve">23. Сигналы торможения (основные и дополнительные) должны включаться при воздействии на органы управления рабочей и аварийной тормозных систем и работать в постоянном режиме.</w:t>
      </w:r>
    </w:p>
    <w:p>
      <w:pPr>
        <w:pStyle w:val="0"/>
        <w:spacing w:before="240" w:line-rule="auto"/>
        <w:ind w:firstLine="540"/>
        <w:jc w:val="both"/>
      </w:pPr>
      <w:r>
        <w:rPr>
          <w:sz w:val="24"/>
        </w:rPr>
        <w:t xml:space="preserve">24. Установка спереди машины световых приборов с огнями красного цвета или световозвращателей красного цвета, а сзади - белого цвета, кроме фонарей заднего хода и освещения регистрационного знака, не допускается.</w:t>
      </w:r>
    </w:p>
    <w:p>
      <w:pPr>
        <w:pStyle w:val="0"/>
        <w:spacing w:before="240" w:line-rule="auto"/>
        <w:ind w:firstLine="540"/>
        <w:jc w:val="both"/>
      </w:pPr>
      <w:r>
        <w:rPr>
          <w:sz w:val="24"/>
        </w:rPr>
        <w:t xml:space="preserve">25. На машинах, выполняющих работы по строительству, ремонту или содержанию дорог, а также на машинах, передвигающихся по дорогам общего пользования со скоростью 20 км/ч и более и имеющих ширину более 2,55 метра, должны устанавливаться специальные световые сигналы (проблесковые маячки) желтого или оранжевого цвета. Количество и расположение проблесковых маячков должны обеспечивать их видимость на 360 градусов в горизонтальной плоскости, проходящей через центр источника излучения света.</w:t>
      </w:r>
    </w:p>
    <w:p>
      <w:pPr>
        <w:pStyle w:val="0"/>
        <w:jc w:val="center"/>
      </w:pPr>
      <w:r>
        <w:rPr>
          <w:sz w:val="24"/>
        </w:rPr>
      </w:r>
    </w:p>
    <w:p>
      <w:pPr>
        <w:pStyle w:val="2"/>
        <w:outlineLvl w:val="2"/>
        <w:jc w:val="center"/>
      </w:pPr>
      <w:r>
        <w:rPr>
          <w:sz w:val="24"/>
        </w:rPr>
        <w:t xml:space="preserve">V. Стеклоочистители и стеклоомыватели</w:t>
      </w:r>
    </w:p>
    <w:p>
      <w:pPr>
        <w:pStyle w:val="0"/>
        <w:jc w:val="center"/>
      </w:pPr>
      <w:r>
        <w:rPr>
          <w:sz w:val="24"/>
        </w:rPr>
      </w:r>
    </w:p>
    <w:p>
      <w:pPr>
        <w:pStyle w:val="0"/>
        <w:ind w:firstLine="540"/>
        <w:jc w:val="both"/>
      </w:pPr>
      <w:r>
        <w:rPr>
          <w:sz w:val="24"/>
        </w:rPr>
        <w:t xml:space="preserve">26. Машины, имеющие кабину, должны оснащаться хотя бы одним стеклоочистителем.</w:t>
      </w:r>
    </w:p>
    <w:p>
      <w:pPr>
        <w:pStyle w:val="0"/>
        <w:spacing w:before="240" w:line-rule="auto"/>
        <w:ind w:firstLine="540"/>
        <w:jc w:val="both"/>
      </w:pPr>
      <w:r>
        <w:rPr>
          <w:sz w:val="24"/>
        </w:rPr>
        <w:t xml:space="preserve">27. Применение стеклоочистителей и стеклоомывателей для сельскохозяйственных и лесных тракторов, самоходных сельскохозяйственных машин должно соответствовать </w:t>
      </w:r>
      <w:hyperlink w:history="0" r:id="rId72" w:tooltip="Ссылка на КонсультантПлюс">
        <w:r>
          <w:rPr>
            <w:sz w:val="24"/>
            <w:color w:val="0000ff"/>
          </w:rPr>
          <w:t xml:space="preserve">пунктам 4.1</w:t>
        </w:r>
      </w:hyperlink>
      <w:r>
        <w:rPr>
          <w:sz w:val="24"/>
        </w:rPr>
        <w:t xml:space="preserve"> и </w:t>
      </w:r>
      <w:hyperlink w:history="0" r:id="rId73" w:tooltip="Ссылка на КонсультантПлюс">
        <w:r>
          <w:rPr>
            <w:sz w:val="24"/>
            <w:color w:val="0000ff"/>
          </w:rPr>
          <w:t xml:space="preserve">4.2</w:t>
        </w:r>
      </w:hyperlink>
      <w:r>
        <w:rPr>
          <w:sz w:val="24"/>
        </w:rPr>
        <w:t xml:space="preserve"> ГОСТ 12.2.120-2015 "Межгосударственный стандарт. Система стандартов безопасности труда. Кабины и рабочие места операторов тракторов и самоходных сельскохозяйственных машин. Общие требования безопасности".</w:t>
      </w:r>
    </w:p>
    <w:p>
      <w:pPr>
        <w:pStyle w:val="0"/>
        <w:jc w:val="both"/>
      </w:pPr>
      <w:r>
        <w:rPr>
          <w:sz w:val="24"/>
        </w:rPr>
        <w:t xml:space="preserve">(в ред. </w:t>
      </w:r>
      <w:hyperlink w:history="0" r:id="rId74"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28. Стеклоочистители и стеклоомыватели должны быть работоспособны.</w:t>
      </w:r>
    </w:p>
    <w:p>
      <w:pPr>
        <w:pStyle w:val="0"/>
        <w:spacing w:before="240" w:line-rule="auto"/>
        <w:ind w:firstLine="540"/>
        <w:jc w:val="both"/>
      </w:pPr>
      <w:r>
        <w:rPr>
          <w:sz w:val="24"/>
        </w:rPr>
        <w:t xml:space="preserve">29. Стеклоомыватель должен обеспечивать подачу жидкости в зону очистки стекла.</w:t>
      </w:r>
    </w:p>
    <w:p>
      <w:pPr>
        <w:pStyle w:val="0"/>
        <w:jc w:val="center"/>
      </w:pPr>
      <w:r>
        <w:rPr>
          <w:sz w:val="24"/>
        </w:rPr>
      </w:r>
    </w:p>
    <w:p>
      <w:pPr>
        <w:pStyle w:val="2"/>
        <w:outlineLvl w:val="2"/>
        <w:jc w:val="center"/>
      </w:pPr>
      <w:r>
        <w:rPr>
          <w:sz w:val="24"/>
        </w:rPr>
        <w:t xml:space="preserve">VI. Колеса, шины и гусеницы</w:t>
      </w:r>
    </w:p>
    <w:p>
      <w:pPr>
        <w:pStyle w:val="0"/>
        <w:jc w:val="center"/>
      </w:pPr>
      <w:r>
        <w:rPr>
          <w:sz w:val="24"/>
        </w:rPr>
      </w:r>
    </w:p>
    <w:p>
      <w:pPr>
        <w:pStyle w:val="0"/>
        <w:ind w:firstLine="540"/>
        <w:jc w:val="both"/>
      </w:pPr>
      <w:r>
        <w:rPr>
          <w:sz w:val="24"/>
        </w:rPr>
        <w:t xml:space="preserve">30. Шины колес должны иметь остаточную высоту почвозацепов (рисунка протектора):</w:t>
      </w:r>
    </w:p>
    <w:p>
      <w:pPr>
        <w:pStyle w:val="0"/>
        <w:spacing w:before="240" w:line-rule="auto"/>
        <w:ind w:firstLine="540"/>
        <w:jc w:val="both"/>
      </w:pPr>
      <w:r>
        <w:rPr>
          <w:sz w:val="24"/>
        </w:rPr>
        <w:t xml:space="preserve">а) ведущих колес:</w:t>
      </w:r>
    </w:p>
    <w:p>
      <w:pPr>
        <w:pStyle w:val="0"/>
        <w:spacing w:before="240" w:line-rule="auto"/>
        <w:ind w:firstLine="540"/>
        <w:jc w:val="both"/>
      </w:pPr>
      <w:r>
        <w:rPr>
          <w:sz w:val="24"/>
        </w:rPr>
        <w:t xml:space="preserve">не менее 5 мм - для тракторов класса до 2 т включительно;</w:t>
      </w:r>
    </w:p>
    <w:p>
      <w:pPr>
        <w:pStyle w:val="0"/>
        <w:spacing w:before="240" w:line-rule="auto"/>
        <w:ind w:firstLine="540"/>
        <w:jc w:val="both"/>
      </w:pPr>
      <w:r>
        <w:rPr>
          <w:sz w:val="24"/>
        </w:rPr>
        <w:t xml:space="preserve">не менее 10 мм - для тракторов класса 3 т и выше;</w:t>
      </w:r>
    </w:p>
    <w:p>
      <w:pPr>
        <w:pStyle w:val="0"/>
        <w:spacing w:before="240" w:line-rule="auto"/>
        <w:ind w:firstLine="540"/>
        <w:jc w:val="both"/>
      </w:pPr>
      <w:r>
        <w:rPr>
          <w:sz w:val="24"/>
        </w:rPr>
        <w:t xml:space="preserve">б) управляемых колес:</w:t>
      </w:r>
    </w:p>
    <w:p>
      <w:pPr>
        <w:pStyle w:val="0"/>
        <w:spacing w:before="240" w:line-rule="auto"/>
        <w:ind w:firstLine="540"/>
        <w:jc w:val="both"/>
      </w:pPr>
      <w:r>
        <w:rPr>
          <w:sz w:val="24"/>
        </w:rPr>
        <w:t xml:space="preserve">не менее 2 мм - для тракторов класса до 2 т включительно;</w:t>
      </w:r>
    </w:p>
    <w:p>
      <w:pPr>
        <w:pStyle w:val="0"/>
        <w:spacing w:before="240" w:line-rule="auto"/>
        <w:ind w:firstLine="540"/>
        <w:jc w:val="both"/>
      </w:pPr>
      <w:r>
        <w:rPr>
          <w:sz w:val="24"/>
        </w:rPr>
        <w:t xml:space="preserve">не менее 10 мм - для тракторов класса 3 т и выше;</w:t>
      </w:r>
    </w:p>
    <w:p>
      <w:pPr>
        <w:pStyle w:val="0"/>
        <w:spacing w:before="240" w:line-rule="auto"/>
        <w:ind w:firstLine="540"/>
        <w:jc w:val="both"/>
      </w:pPr>
      <w:r>
        <w:rPr>
          <w:sz w:val="24"/>
        </w:rPr>
        <w:t xml:space="preserve">в) колес прицепов - не менее 1 мм.</w:t>
      </w:r>
    </w:p>
    <w:p>
      <w:pPr>
        <w:pStyle w:val="0"/>
        <w:spacing w:before="240" w:line-rule="auto"/>
        <w:ind w:firstLine="540"/>
        <w:jc w:val="both"/>
      </w:pPr>
      <w:r>
        <w:rPr>
          <w:sz w:val="24"/>
        </w:rPr>
        <w:t xml:space="preserve">31. Шины не должны иметь внешние повреждения (пробоины, порезы, разрывы), обнажающие корд, расслоение каркаса, отслоение протектора и боковины.</w:t>
      </w:r>
    </w:p>
    <w:p>
      <w:pPr>
        <w:pStyle w:val="0"/>
        <w:spacing w:before="240" w:line-rule="auto"/>
        <w:ind w:firstLine="540"/>
        <w:jc w:val="both"/>
      </w:pPr>
      <w:r>
        <w:rPr>
          <w:sz w:val="24"/>
        </w:rPr>
        <w:t xml:space="preserve">32. Отсутствие хотя бы одного болта или гайки крепления дисков и ободьев колес не допускается.</w:t>
      </w:r>
    </w:p>
    <w:p>
      <w:pPr>
        <w:pStyle w:val="0"/>
        <w:spacing w:before="240" w:line-rule="auto"/>
        <w:ind w:firstLine="540"/>
        <w:jc w:val="both"/>
      </w:pPr>
      <w:r>
        <w:rPr>
          <w:sz w:val="24"/>
        </w:rPr>
        <w:t xml:space="preserve">33. Наличие трещин на дисках и ободьях колес, а также следов устранения их сваркой не допускается.</w:t>
      </w:r>
    </w:p>
    <w:p>
      <w:pPr>
        <w:pStyle w:val="0"/>
        <w:spacing w:before="240" w:line-rule="auto"/>
        <w:ind w:firstLine="540"/>
        <w:jc w:val="both"/>
      </w:pPr>
      <w:r>
        <w:rPr>
          <w:sz w:val="24"/>
        </w:rPr>
        <w:t xml:space="preserve">34. Видимое нарушение формы и (или) размеров крепежных отверстий в дисках колес не допускается.</w:t>
      </w:r>
    </w:p>
    <w:p>
      <w:pPr>
        <w:pStyle w:val="0"/>
        <w:spacing w:before="240" w:line-rule="auto"/>
        <w:ind w:firstLine="540"/>
        <w:jc w:val="both"/>
      </w:pPr>
      <w:r>
        <w:rPr>
          <w:sz w:val="24"/>
        </w:rPr>
        <w:t xml:space="preserve">35. Шины по размеру или допустимой нагрузке должны соответствовать модели машины.</w:t>
      </w:r>
    </w:p>
    <w:p>
      <w:pPr>
        <w:pStyle w:val="0"/>
        <w:spacing w:before="240" w:line-rule="auto"/>
        <w:ind w:firstLine="540"/>
        <w:jc w:val="both"/>
      </w:pPr>
      <w:r>
        <w:rPr>
          <w:sz w:val="24"/>
        </w:rPr>
        <w:t xml:space="preserve">36. Установка на одной оси шин различных размеров, конструкций, моделей, с разными рисунками протектора не допускается.</w:t>
      </w:r>
    </w:p>
    <w:p>
      <w:pPr>
        <w:pStyle w:val="0"/>
        <w:spacing w:before="240" w:line-rule="auto"/>
        <w:ind w:firstLine="540"/>
        <w:jc w:val="both"/>
      </w:pPr>
      <w:r>
        <w:rPr>
          <w:sz w:val="24"/>
        </w:rPr>
        <w:t xml:space="preserve">37. Давление в шинах не должно превышать значения, указанные в маркировке шин. Разность давлений в левых и правых шинах должна быть не более 0,01 МПа (0,1 кгс/см2).</w:t>
      </w:r>
    </w:p>
    <w:p>
      <w:pPr>
        <w:pStyle w:val="0"/>
        <w:spacing w:before="240" w:line-rule="auto"/>
        <w:ind w:firstLine="540"/>
        <w:jc w:val="both"/>
      </w:pPr>
      <w:r>
        <w:rPr>
          <w:sz w:val="24"/>
        </w:rPr>
        <w:t xml:space="preserve">38. Провисание гусеничных цепей машин на гусеничном ходу не должно превышать значение, предусмотренное изготовителем, а если такое значение отсутствует - не должно превышать 65 мм.</w:t>
      </w:r>
    </w:p>
    <w:p>
      <w:pPr>
        <w:pStyle w:val="0"/>
        <w:spacing w:before="240" w:line-rule="auto"/>
        <w:ind w:firstLine="540"/>
        <w:jc w:val="both"/>
      </w:pPr>
      <w:r>
        <w:rPr>
          <w:sz w:val="24"/>
        </w:rPr>
        <w:t xml:space="preserve">39. Остаточная высота почвозацепов машин на гусеничном ходу должна быть не менее 7 мм.</w:t>
      </w:r>
    </w:p>
    <w:p>
      <w:pPr>
        <w:pStyle w:val="0"/>
        <w:spacing w:before="240" w:line-rule="auto"/>
        <w:ind w:firstLine="540"/>
        <w:jc w:val="both"/>
      </w:pPr>
      <w:r>
        <w:rPr>
          <w:sz w:val="24"/>
        </w:rPr>
        <w:t xml:space="preserve">40. Число звеньев в левой и правой гусеничных цепях должно быть одинаково.</w:t>
      </w:r>
    </w:p>
    <w:p>
      <w:pPr>
        <w:pStyle w:val="0"/>
        <w:spacing w:before="240" w:line-rule="auto"/>
        <w:ind w:firstLine="540"/>
        <w:jc w:val="both"/>
      </w:pPr>
      <w:r>
        <w:rPr>
          <w:sz w:val="24"/>
        </w:rPr>
        <w:t xml:space="preserve">41. Наличие трещин и изломов в звеньях гусеничной цепи не допускается.</w:t>
      </w:r>
    </w:p>
    <w:p>
      <w:pPr>
        <w:pStyle w:val="0"/>
        <w:spacing w:before="240" w:line-rule="auto"/>
        <w:ind w:firstLine="540"/>
        <w:jc w:val="both"/>
      </w:pPr>
      <w:r>
        <w:rPr>
          <w:sz w:val="24"/>
        </w:rPr>
        <w:t xml:space="preserve">42. Разность провисаний левой и правой гусеничных цепей не должна превышать значение, предусмотренное изготовителем, а если такое значение отсутствует - не должна превышать 5 мм.</w:t>
      </w:r>
    </w:p>
    <w:p>
      <w:pPr>
        <w:pStyle w:val="0"/>
        <w:jc w:val="center"/>
      </w:pPr>
      <w:r>
        <w:rPr>
          <w:sz w:val="24"/>
        </w:rPr>
      </w:r>
    </w:p>
    <w:p>
      <w:pPr>
        <w:pStyle w:val="2"/>
        <w:outlineLvl w:val="2"/>
        <w:jc w:val="center"/>
      </w:pPr>
      <w:r>
        <w:rPr>
          <w:sz w:val="24"/>
        </w:rPr>
        <w:t xml:space="preserve">VII. Двигатель и его системы</w:t>
      </w:r>
    </w:p>
    <w:p>
      <w:pPr>
        <w:pStyle w:val="0"/>
        <w:jc w:val="center"/>
      </w:pPr>
      <w:r>
        <w:rPr>
          <w:sz w:val="24"/>
        </w:rPr>
      </w:r>
    </w:p>
    <w:p>
      <w:pPr>
        <w:pStyle w:val="0"/>
        <w:ind w:firstLine="540"/>
        <w:jc w:val="both"/>
      </w:pPr>
      <w:r>
        <w:rPr>
          <w:sz w:val="24"/>
        </w:rPr>
        <w:t xml:space="preserve">43. Уровень дымности отработавших газов для тракторов, самоходных дорожно-строительных и иных самоходных машин с дизелями должен соответствовать ГОСТ Р 17.2.2.02-86 "Межгосударственный стандарт. Охрана природы. Атмосфера. Нормы и методы определения дымности отработавших газов дизелей тракторов и самоходных сельскохозяйственных машин".</w:t>
      </w:r>
    </w:p>
    <w:p>
      <w:pPr>
        <w:pStyle w:val="0"/>
        <w:jc w:val="both"/>
      </w:pPr>
      <w:r>
        <w:rPr>
          <w:sz w:val="24"/>
        </w:rPr>
        <w:t xml:space="preserve">(в ред. </w:t>
      </w:r>
      <w:hyperlink w:history="0" r:id="rId75"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44. Содержание загрязняющих веществ в отработавших газах машин с бензиновыми двигателями должно соответствовать требованиям, предусмотренным изготовителем.</w:t>
      </w:r>
    </w:p>
    <w:p>
      <w:pPr>
        <w:pStyle w:val="0"/>
        <w:spacing w:before="240" w:line-rule="auto"/>
        <w:ind w:firstLine="540"/>
        <w:jc w:val="both"/>
      </w:pPr>
      <w:r>
        <w:rPr>
          <w:sz w:val="24"/>
        </w:rPr>
        <w:t xml:space="preserve">45. Содержание окиси углерода в отработавших газах при минимальной устойчивой частоте вращения коленчатого вала двигателя снегоходов, четырехколесных внедорожных мототранспортных средств и снегоболотоходов не должно превышать 4,5 процента (в объемных долях).</w:t>
      </w:r>
    </w:p>
    <w:p>
      <w:pPr>
        <w:pStyle w:val="0"/>
        <w:jc w:val="both"/>
      </w:pPr>
      <w:r>
        <w:rPr>
          <w:sz w:val="24"/>
        </w:rPr>
        <w:t xml:space="preserve">(п. 45 в ред. </w:t>
      </w:r>
      <w:hyperlink w:history="0" r:id="rId76"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46. Подтекание и каплепадение топлива в системе питания бензиновых и дизельных двигателей не допускаются.</w:t>
      </w:r>
    </w:p>
    <w:p>
      <w:pPr>
        <w:pStyle w:val="0"/>
        <w:spacing w:before="240" w:line-rule="auto"/>
        <w:ind w:firstLine="540"/>
        <w:jc w:val="both"/>
      </w:pPr>
      <w:r>
        <w:rPr>
          <w:sz w:val="24"/>
        </w:rPr>
        <w:t xml:space="preserve">47. Запорные устройства топливных баков и устройства перекрытия топлива должны быть работоспособны.</w:t>
      </w:r>
    </w:p>
    <w:p>
      <w:pPr>
        <w:pStyle w:val="0"/>
        <w:spacing w:before="240" w:line-rule="auto"/>
        <w:ind w:firstLine="540"/>
        <w:jc w:val="both"/>
      </w:pPr>
      <w:r>
        <w:rPr>
          <w:sz w:val="24"/>
        </w:rPr>
        <w:t xml:space="preserve">48. Система питания машин, предназначенная для работы на компримированном природном газе, сжиженном природном газе и сжиженном углеводородном газе, должна быть герметична. На наружную поверхность газовых баллонов машин, оснащенных такой системой питания, должны наноситься их паспортные данные, в том числе дата действующего и последующего освидетельствования. Не допускается использование газовых баллонов с истекшим сроком их периодического освидетельствования.</w:t>
      </w:r>
    </w:p>
    <w:p>
      <w:pPr>
        <w:pStyle w:val="0"/>
        <w:spacing w:before="240" w:line-rule="auto"/>
        <w:ind w:firstLine="540"/>
        <w:jc w:val="both"/>
      </w:pPr>
      <w:r>
        <w:rPr>
          <w:sz w:val="24"/>
        </w:rPr>
        <w:t xml:space="preserve">49. Выпускные системы двигателей должны быть исправными и комплектными.</w:t>
      </w:r>
    </w:p>
    <w:p>
      <w:pPr>
        <w:pStyle w:val="0"/>
        <w:jc w:val="center"/>
      </w:pPr>
      <w:r>
        <w:rPr>
          <w:sz w:val="24"/>
        </w:rPr>
      </w:r>
    </w:p>
    <w:p>
      <w:pPr>
        <w:pStyle w:val="2"/>
        <w:outlineLvl w:val="2"/>
        <w:jc w:val="center"/>
      </w:pPr>
      <w:r>
        <w:rPr>
          <w:sz w:val="24"/>
        </w:rPr>
        <w:t xml:space="preserve">VIII. Прочие элементы конструкции</w:t>
      </w:r>
    </w:p>
    <w:p>
      <w:pPr>
        <w:pStyle w:val="0"/>
        <w:jc w:val="center"/>
      </w:pPr>
      <w:r>
        <w:rPr>
          <w:sz w:val="24"/>
        </w:rPr>
      </w:r>
    </w:p>
    <w:p>
      <w:pPr>
        <w:pStyle w:val="0"/>
        <w:ind w:firstLine="540"/>
        <w:jc w:val="both"/>
      </w:pPr>
      <w:r>
        <w:rPr>
          <w:sz w:val="24"/>
        </w:rPr>
        <w:t xml:space="preserve">50. Тракторы, самоходные дорожно-строительные, коммунальные, сельскохозяйственные машины, а также внедорожные автотранспортные средства должны укомплектовываться не менее чем одним (слева) зеркалом заднего вида.</w:t>
      </w:r>
    </w:p>
    <w:p>
      <w:pPr>
        <w:pStyle w:val="0"/>
        <w:spacing w:before="240" w:line-rule="auto"/>
        <w:ind w:firstLine="540"/>
        <w:jc w:val="both"/>
      </w:pPr>
      <w:r>
        <w:rPr>
          <w:sz w:val="24"/>
        </w:rPr>
        <w:t xml:space="preserve">В случае оснащения снегохода зеркалами заднего вида их конструкция и установка должны отвечать требованиям, установленным </w:t>
      </w:r>
      <w:hyperlink w:history="0" r:id="rId77" w:tooltip="Ссылка на КонсультантПлюс">
        <w:r>
          <w:rPr>
            <w:sz w:val="24"/>
            <w:color w:val="0000ff"/>
          </w:rPr>
          <w:t xml:space="preserve">пунктом 4.10.11</w:t>
        </w:r>
      </w:hyperlink>
      <w:r>
        <w:rPr>
          <w:sz w:val="24"/>
        </w:rPr>
        <w:t xml:space="preserve"> ГОСТ 34066-2017.</w:t>
      </w:r>
    </w:p>
    <w:p>
      <w:pPr>
        <w:pStyle w:val="0"/>
        <w:spacing w:before="240" w:line-rule="auto"/>
        <w:ind w:firstLine="540"/>
        <w:jc w:val="both"/>
      </w:pPr>
      <w:r>
        <w:rPr>
          <w:sz w:val="24"/>
        </w:rPr>
        <w:t xml:space="preserve">Снегоболотоходы должны быть оборудованы устройствами непрямого обзора (2 боковых зеркала и одно центральное зеркало заднего вида или заменяющие их устройства). Их конструкция и установка должны отвечать требованиям, установленным </w:t>
      </w:r>
      <w:hyperlink w:history="0" r:id="rId78" w:tooltip="Ссылка на КонсультантПлюс">
        <w:r>
          <w:rPr>
            <w:sz w:val="24"/>
            <w:color w:val="0000ff"/>
          </w:rPr>
          <w:t xml:space="preserve">пунктом 4.11.5</w:t>
        </w:r>
      </w:hyperlink>
      <w:r>
        <w:rPr>
          <w:sz w:val="24"/>
        </w:rPr>
        <w:t xml:space="preserve"> ГОСТ 34065-2017.</w:t>
      </w:r>
    </w:p>
    <w:p>
      <w:pPr>
        <w:pStyle w:val="0"/>
        <w:jc w:val="both"/>
      </w:pPr>
      <w:r>
        <w:rPr>
          <w:sz w:val="24"/>
        </w:rPr>
        <w:t xml:space="preserve">(п. 50 в ред. </w:t>
      </w:r>
      <w:hyperlink w:history="0" r:id="rId79"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51. Наличие трещин на ветровых стеклах в зоне очистки стеклоочистителем половины стекла, расположенной со стороны водителя, не допускается.</w:t>
      </w:r>
    </w:p>
    <w:p>
      <w:pPr>
        <w:pStyle w:val="0"/>
        <w:spacing w:before="240" w:line-rule="auto"/>
        <w:ind w:firstLine="540"/>
        <w:jc w:val="both"/>
      </w:pPr>
      <w:r>
        <w:rPr>
          <w:sz w:val="24"/>
        </w:rPr>
        <w:t xml:space="preserve">52. Замки дверей кабины, механизмы регулировки и фиксирующие устройства сидений водителя, устройство обогрева и обдува ветрового стекла, предусмотренные конструкцией, должны быть работоспособны.</w:t>
      </w:r>
    </w:p>
    <w:p>
      <w:pPr>
        <w:pStyle w:val="0"/>
        <w:spacing w:before="240" w:line-rule="auto"/>
        <w:ind w:firstLine="540"/>
        <w:jc w:val="both"/>
      </w:pPr>
      <w:r>
        <w:rPr>
          <w:sz w:val="24"/>
        </w:rPr>
        <w:t xml:space="preserve">53. Запоры бортов грузовой платформы прицепов и полуприцепов должны быть работоспособны.</w:t>
      </w:r>
    </w:p>
    <w:p>
      <w:pPr>
        <w:pStyle w:val="0"/>
        <w:spacing w:before="240" w:line-rule="auto"/>
        <w:ind w:firstLine="540"/>
        <w:jc w:val="both"/>
      </w:pPr>
      <w:r>
        <w:rPr>
          <w:sz w:val="24"/>
        </w:rPr>
        <w:t xml:space="preserve">54. Аварийные выходы и устройства приведения их в действие, приборы внутреннего освещения кабины должны быть работоспособны.</w:t>
      </w:r>
    </w:p>
    <w:p>
      <w:pPr>
        <w:pStyle w:val="0"/>
        <w:spacing w:before="240" w:line-rule="auto"/>
        <w:ind w:firstLine="540"/>
        <w:jc w:val="both"/>
      </w:pPr>
      <w:r>
        <w:rPr>
          <w:sz w:val="24"/>
        </w:rPr>
        <w:t xml:space="preserve">55. Предусмотренные конструкцией самоходных машин звуковые сигналы должны быть исправны.</w:t>
      </w:r>
    </w:p>
    <w:p>
      <w:pPr>
        <w:pStyle w:val="0"/>
        <w:spacing w:before="240" w:line-rule="auto"/>
        <w:ind w:firstLine="540"/>
        <w:jc w:val="both"/>
      </w:pPr>
      <w:r>
        <w:rPr>
          <w:sz w:val="24"/>
        </w:rPr>
        <w:t xml:space="preserve">Звуковой сигнал при приведении в действие органа его управления должен издавать непрерывный и монотонный звук.</w:t>
      </w:r>
    </w:p>
    <w:p>
      <w:pPr>
        <w:pStyle w:val="0"/>
        <w:spacing w:before="240" w:line-rule="auto"/>
        <w:ind w:firstLine="540"/>
        <w:jc w:val="both"/>
      </w:pPr>
      <w:r>
        <w:rPr>
          <w:sz w:val="24"/>
        </w:rPr>
        <w:t xml:space="preserve">Уровень звука сигнала должен быть в пределах 90 - 112 дБА при заглушенном двигателе.</w:t>
      </w:r>
    </w:p>
    <w:p>
      <w:pPr>
        <w:pStyle w:val="0"/>
        <w:spacing w:before="240" w:line-rule="auto"/>
        <w:ind w:firstLine="540"/>
        <w:jc w:val="both"/>
      </w:pPr>
      <w:r>
        <w:rPr>
          <w:sz w:val="24"/>
        </w:rPr>
        <w:t xml:space="preserve">56. На прицепах и полуприцепах должны устанавливаться задние защитные устройства, предусмотренные конструкцией.</w:t>
      </w:r>
    </w:p>
    <w:p>
      <w:pPr>
        <w:pStyle w:val="0"/>
        <w:spacing w:before="240" w:line-rule="auto"/>
        <w:ind w:firstLine="540"/>
        <w:jc w:val="both"/>
      </w:pPr>
      <w:r>
        <w:rPr>
          <w:sz w:val="24"/>
        </w:rPr>
        <w:t xml:space="preserve">57. Тракторные прицепы и полуприцепы должны оборудоваться работоспособными предохранительными приспособлениями (цепями, тросами). Длина предохранительных цепей (тросов) должна предотвращать контакт сцепной петли дышла с дорожной поверхностью и при этом обеспечивать управление прицепом в случае обрыва (поломки) тягово-сцепного устройства.</w:t>
      </w:r>
    </w:p>
    <w:p>
      <w:pPr>
        <w:pStyle w:val="0"/>
        <w:spacing w:before="240" w:line-rule="auto"/>
        <w:ind w:firstLine="540"/>
        <w:jc w:val="both"/>
      </w:pPr>
      <w:r>
        <w:rPr>
          <w:sz w:val="24"/>
        </w:rPr>
        <w:t xml:space="preserve">58. Прицепы (за исключением одноосных и роспусков) должны оборудоваться устройством, поддерживающим сцепную петлю дышла в положении, облегчающем сцепку и расцепку с тяговой машиной.</w:t>
      </w:r>
    </w:p>
    <w:p>
      <w:pPr>
        <w:pStyle w:val="0"/>
        <w:spacing w:before="240" w:line-rule="auto"/>
        <w:ind w:firstLine="540"/>
        <w:jc w:val="both"/>
      </w:pPr>
      <w:r>
        <w:rPr>
          <w:sz w:val="24"/>
        </w:rPr>
        <w:t xml:space="preserve">59. Деформация сцепной петли или дышла прицепа, нарушающая их положение относительно продольной центральной плоскости симметрии прицепа, разрывы, трещины и другие видимые повреждения сцепной петли или дышла прицепа не допускаются.</w:t>
      </w:r>
    </w:p>
    <w:p>
      <w:pPr>
        <w:pStyle w:val="0"/>
        <w:spacing w:before="240" w:line-rule="auto"/>
        <w:ind w:firstLine="540"/>
        <w:jc w:val="both"/>
      </w:pPr>
      <w:r>
        <w:rPr>
          <w:sz w:val="24"/>
        </w:rPr>
        <w:t xml:space="preserve">60. Машины должны оснащаться ремнями безопасности, предусмотренными конструкцией. Ремни безопасности не должны иметь следующие дефекты:</w:t>
      </w:r>
    </w:p>
    <w:p>
      <w:pPr>
        <w:pStyle w:val="0"/>
        <w:spacing w:before="240" w:line-rule="auto"/>
        <w:ind w:firstLine="540"/>
        <w:jc w:val="both"/>
      </w:pPr>
      <w:r>
        <w:rPr>
          <w:sz w:val="24"/>
        </w:rPr>
        <w:t xml:space="preserve">а) надрыв на лямке, видимый невооруженным глазом;</w:t>
      </w:r>
    </w:p>
    <w:p>
      <w:pPr>
        <w:pStyle w:val="0"/>
        <w:spacing w:before="240" w:line-rule="auto"/>
        <w:ind w:firstLine="540"/>
        <w:jc w:val="both"/>
      </w:pPr>
      <w:r>
        <w:rPr>
          <w:sz w:val="24"/>
        </w:rPr>
        <w:t xml:space="preserve">б) замок не фиксирует "язык" лямки или не выбрасывает его после нажатия на кнопку замыкающего устройства;</w:t>
      </w:r>
    </w:p>
    <w:p>
      <w:pPr>
        <w:pStyle w:val="0"/>
        <w:spacing w:before="240" w:line-rule="auto"/>
        <w:ind w:firstLine="540"/>
        <w:jc w:val="both"/>
      </w:pPr>
      <w:r>
        <w:rPr>
          <w:sz w:val="24"/>
        </w:rPr>
        <w:t xml:space="preserve">в) лямка не вытягивается или не втягивается во втягивающее устройство (катушку);</w:t>
      </w:r>
    </w:p>
    <w:p>
      <w:pPr>
        <w:pStyle w:val="0"/>
        <w:spacing w:before="240" w:line-rule="auto"/>
        <w:ind w:firstLine="540"/>
        <w:jc w:val="both"/>
      </w:pPr>
      <w:r>
        <w:rPr>
          <w:sz w:val="24"/>
        </w:rPr>
        <w:t xml:space="preserve">г) при резком вытягивании лямки ремня не обеспечивается прекращение (блокирование) ее вытягивания из втягивающего устройства (катушки).</w:t>
      </w:r>
    </w:p>
    <w:p>
      <w:pPr>
        <w:pStyle w:val="0"/>
        <w:spacing w:before="240" w:line-rule="auto"/>
        <w:ind w:firstLine="540"/>
        <w:jc w:val="both"/>
      </w:pPr>
      <w:r>
        <w:rPr>
          <w:sz w:val="24"/>
        </w:rPr>
        <w:t xml:space="preserve">61. Тракторы, самоходные дорожно-строительные, самоходные сельскохозяйственные машины, прицепы и полуприцепы должны укомплектовываться не менее чем 2 противооткатными упорами.</w:t>
      </w:r>
    </w:p>
    <w:p>
      <w:pPr>
        <w:pStyle w:val="0"/>
        <w:spacing w:before="240" w:line-rule="auto"/>
        <w:ind w:firstLine="540"/>
        <w:jc w:val="both"/>
      </w:pPr>
      <w:r>
        <w:rPr>
          <w:sz w:val="24"/>
        </w:rPr>
        <w:t xml:space="preserve">62. Самоходные машины должны оснащаться не менее чем одним порошковым или хладоновым огнетушителем емкостью не менее 2 л.</w:t>
      </w:r>
    </w:p>
    <w:p>
      <w:pPr>
        <w:pStyle w:val="0"/>
        <w:spacing w:before="240" w:line-rule="auto"/>
        <w:ind w:firstLine="540"/>
        <w:jc w:val="both"/>
      </w:pPr>
      <w:r>
        <w:rPr>
          <w:sz w:val="24"/>
        </w:rPr>
        <w:t xml:space="preserve">Огнетушитель должен быть опломбирован, и на нем должен быть указан срок окончания использования, который на момент проверки не должен быть завершен.</w:t>
      </w:r>
    </w:p>
    <w:p>
      <w:pPr>
        <w:pStyle w:val="0"/>
        <w:spacing w:before="240" w:line-rule="auto"/>
        <w:ind w:firstLine="540"/>
        <w:jc w:val="both"/>
      </w:pPr>
      <w:r>
        <w:rPr>
          <w:sz w:val="24"/>
        </w:rPr>
        <w:t xml:space="preserve">63. Аккумуляторные батареи, сиденья, а также огнетушители и медицинская аптечка на тракторах, самоходных дорожно-строительных машинах, оборудованных приспособлениями для их крепления, должны надежно закрепляться в местах, предусмотренных конструкцией.</w:t>
      </w:r>
    </w:p>
    <w:p>
      <w:pPr>
        <w:pStyle w:val="0"/>
        <w:spacing w:before="240" w:line-rule="auto"/>
        <w:ind w:firstLine="540"/>
        <w:jc w:val="both"/>
      </w:pPr>
      <w:r>
        <w:rPr>
          <w:sz w:val="24"/>
        </w:rPr>
        <w:t xml:space="preserve">64. Колесные тракторы и машины должны оборудоваться надколесными крыльями. Ширина этих устройств должна быть не менее ширины применяемых шин.</w:t>
      </w:r>
    </w:p>
    <w:p>
      <w:pPr>
        <w:pStyle w:val="0"/>
        <w:spacing w:before="240" w:line-rule="auto"/>
        <w:ind w:firstLine="540"/>
        <w:jc w:val="both"/>
      </w:pPr>
      <w:r>
        <w:rPr>
          <w:sz w:val="24"/>
        </w:rPr>
        <w:t xml:space="preserve">65. Отсутствие предусмотренных конструкцией машин грязезащитных фартуков и брызговиков не допускается.</w:t>
      </w:r>
    </w:p>
    <w:p>
      <w:pPr>
        <w:pStyle w:val="0"/>
        <w:spacing w:before="240" w:line-rule="auto"/>
        <w:ind w:firstLine="540"/>
        <w:jc w:val="both"/>
      </w:pPr>
      <w:r>
        <w:rPr>
          <w:sz w:val="24"/>
        </w:rPr>
        <w:t xml:space="preserve">66. Фиксаторы транспортного положения опор полуприцепов, предназначенные для предотвращения их самопроизвольного опускания при движении, должны быть работоспособны.</w:t>
      </w:r>
    </w:p>
    <w:p>
      <w:pPr>
        <w:pStyle w:val="0"/>
        <w:spacing w:before="240" w:line-rule="auto"/>
        <w:ind w:firstLine="540"/>
        <w:jc w:val="both"/>
      </w:pPr>
      <w:r>
        <w:rPr>
          <w:sz w:val="24"/>
        </w:rPr>
        <w:t xml:space="preserve">67. Подтекание масел и рабочих жидкостей из двигателя, коробки передач, бортовых редукторов, мостов, сцепления, аккумуляторной батареи, систем охлаждения и кондиционирования воздуха и дополнительно устанавливаемых гидравлических устройств не допускается.</w:t>
      </w:r>
    </w:p>
    <w:p>
      <w:pPr>
        <w:pStyle w:val="0"/>
        <w:spacing w:before="240" w:line-rule="auto"/>
        <w:ind w:firstLine="540"/>
        <w:jc w:val="both"/>
      </w:pPr>
      <w:r>
        <w:rPr>
          <w:sz w:val="24"/>
        </w:rPr>
        <w:t xml:space="preserve">68. Предусмотренное конструкцией самоходной машины устройство, исключающее возможность запуска двигателя при включенной передаче, должно быть работоспособно.</w:t>
      </w:r>
    </w:p>
    <w:p>
      <w:pPr>
        <w:pStyle w:val="0"/>
        <w:spacing w:before="240" w:line-rule="auto"/>
        <w:ind w:firstLine="540"/>
        <w:jc w:val="both"/>
      </w:pPr>
      <w:r>
        <w:rPr>
          <w:sz w:val="24"/>
        </w:rPr>
        <w:t xml:space="preserve">69. Повышенное перемещение в подвижных сопряжениях машин не допускается.</w:t>
      </w:r>
    </w:p>
    <w:p>
      <w:pPr>
        <w:pStyle w:val="0"/>
        <w:spacing w:before="240" w:line-rule="auto"/>
        <w:ind w:firstLine="540"/>
        <w:jc w:val="both"/>
      </w:pPr>
      <w:r>
        <w:rPr>
          <w:sz w:val="24"/>
        </w:rPr>
        <w:t xml:space="preserve">70. Движущие (вращающиеся) части машин (карданные, цепные, ременные, зубчатые передачи и т.п.) должны быть огорожены защитными кожухами.</w:t>
      </w:r>
    </w:p>
    <w:p>
      <w:pPr>
        <w:pStyle w:val="0"/>
        <w:spacing w:before="240" w:line-rule="auto"/>
        <w:ind w:firstLine="540"/>
        <w:jc w:val="both"/>
      </w:pPr>
      <w:r>
        <w:rPr>
          <w:sz w:val="24"/>
        </w:rPr>
        <w:t xml:space="preserve">71. Ослабление крепления кабины, двигателя, компрессора, пускового двигателя, облицовки, рабочих органов, других элементов конструкции не допускается.</w:t>
      </w:r>
    </w:p>
    <w:p>
      <w:pPr>
        <w:pStyle w:val="0"/>
        <w:spacing w:before="240" w:line-rule="auto"/>
        <w:ind w:firstLine="540"/>
        <w:jc w:val="both"/>
      </w:pPr>
      <w:r>
        <w:rPr>
          <w:sz w:val="24"/>
        </w:rPr>
        <w:t xml:space="preserve">72. Рычаги управления рабочими органами машин и орудия в заданных положениях должны обеспечиваться надежной фиксацией.</w:t>
      </w:r>
    </w:p>
    <w:p>
      <w:pPr>
        <w:pStyle w:val="0"/>
        <w:spacing w:before="240" w:line-rule="auto"/>
        <w:ind w:firstLine="540"/>
        <w:jc w:val="both"/>
      </w:pPr>
      <w:r>
        <w:rPr>
          <w:sz w:val="24"/>
        </w:rPr>
        <w:t xml:space="preserve">73. Установка дополнительных предметов или нанесение покрытий, ограничивающих обзор с места водителя, ухудшающих прозрачность стекол, влекущих опасность травмирования, не допускается.</w:t>
      </w:r>
    </w:p>
    <w:p>
      <w:pPr>
        <w:pStyle w:val="0"/>
        <w:spacing w:before="240" w:line-rule="auto"/>
        <w:ind w:firstLine="540"/>
        <w:jc w:val="both"/>
      </w:pPr>
      <w:r>
        <w:rPr>
          <w:sz w:val="24"/>
        </w:rPr>
        <w:t xml:space="preserve">На верхнюю часть ветрового стекла машины могут прикрепляться прозрачные цветные пленки. Разрешается применять тонированные стекла (кроме зеркальных), светопропускание которых соответствует требованиям </w:t>
      </w:r>
      <w:hyperlink w:history="0" r:id="rId80" w:tooltip="&quot;ГОСТ 32565-2013. Национальный стандарт Российской Федерации. Стекло безопасное для наземного транспорта. Общие технические условия&quot; (введен в действие Приказом Росстандарта от 22.11.2013 N 2008-ст) {КонсультантПлюс}">
        <w:r>
          <w:rPr>
            <w:sz w:val="24"/>
            <w:color w:val="0000ff"/>
          </w:rPr>
          <w:t xml:space="preserve">ГОСТ 32565-2013</w:t>
        </w:r>
      </w:hyperlink>
      <w:r>
        <w:rPr>
          <w:sz w:val="24"/>
        </w:rPr>
        <w:t xml:space="preserve"> "Национальный стандарт Российской Федерации. Стекло безопасное для наземного транспорта. Общие технические условия".</w:t>
      </w:r>
    </w:p>
    <w:p>
      <w:pPr>
        <w:pStyle w:val="0"/>
        <w:jc w:val="both"/>
      </w:pPr>
      <w:r>
        <w:rPr>
          <w:sz w:val="24"/>
        </w:rPr>
        <w:t xml:space="preserve">(в ред. </w:t>
      </w:r>
      <w:hyperlink w:history="0" r:id="rId81" w:tooltip="Постановление Правительства РФ от 23.09.2020 N 1538 (ред. от 17.07.2024) &quot;О внесении изменений в постановление Правительства Российской Федерации от 13 ноября 2013 г. N 1013&quot; {КонсультантПлюс}">
        <w:r>
          <w:rPr>
            <w:sz w:val="24"/>
            <w:color w:val="0000ff"/>
          </w:rPr>
          <w:t xml:space="preserve">Постановления</w:t>
        </w:r>
      </w:hyperlink>
      <w:r>
        <w:rPr>
          <w:sz w:val="24"/>
        </w:rPr>
        <w:t xml:space="preserve"> Правительства РФ от 23.09.2020 N 1538)</w:t>
      </w:r>
    </w:p>
    <w:p>
      <w:pPr>
        <w:pStyle w:val="0"/>
        <w:spacing w:before="240" w:line-rule="auto"/>
        <w:ind w:firstLine="540"/>
        <w:jc w:val="both"/>
      </w:pPr>
      <w:r>
        <w:rPr>
          <w:sz w:val="24"/>
        </w:rPr>
        <w:t xml:space="preserve">74. Замена аккумуляторных батарей, применяемых для запуска двигателя машины, а также аккумуляторных батарей машин с электроприводом батареи, напряжение, масса или размеры которых отличаются от предусмотренных изготовителем, не допускается.</w:t>
      </w:r>
    </w:p>
    <w:p>
      <w:pPr>
        <w:pStyle w:val="0"/>
        <w:spacing w:before="240" w:line-rule="auto"/>
        <w:ind w:firstLine="540"/>
        <w:jc w:val="both"/>
      </w:pPr>
      <w:r>
        <w:rPr>
          <w:sz w:val="24"/>
        </w:rPr>
        <w:t xml:space="preserve">75. Предусмотренные конструкцией устройства, предотвращающие самопроизвольный запуск рабочих органов машин, должны быть работоспособны.</w:t>
      </w:r>
    </w:p>
    <w:p>
      <w:pPr>
        <w:pStyle w:val="0"/>
        <w:spacing w:before="240" w:line-rule="auto"/>
        <w:ind w:firstLine="540"/>
        <w:jc w:val="both"/>
      </w:pPr>
      <w:r>
        <w:rPr>
          <w:sz w:val="24"/>
        </w:rPr>
        <w:t xml:space="preserve">76. Предохранительные муфты привода рабочих органов машин должны быть исправны и отрегулированы.</w:t>
      </w:r>
    </w:p>
    <w:p>
      <w:pPr>
        <w:pStyle w:val="0"/>
        <w:spacing w:before="240" w:line-rule="auto"/>
        <w:ind w:firstLine="540"/>
        <w:jc w:val="both"/>
      </w:pPr>
      <w:r>
        <w:rPr>
          <w:sz w:val="24"/>
        </w:rPr>
        <w:t xml:space="preserve">77. Предусмотренные конструкцией устройства для экстренного отключения рабочих органов должны быть работоспособны.</w:t>
      </w:r>
    </w:p>
    <w:p>
      <w:pPr>
        <w:pStyle w:val="0"/>
        <w:spacing w:before="240" w:line-rule="auto"/>
        <w:ind w:firstLine="540"/>
        <w:jc w:val="both"/>
      </w:pPr>
      <w:r>
        <w:rPr>
          <w:sz w:val="24"/>
        </w:rPr>
        <w:t xml:space="preserve">78. Предусмотренные конструкцией устройства для снятия статического электрического заряда должны быть работоспособны.</w:t>
      </w:r>
    </w:p>
    <w:p>
      <w:pPr>
        <w:pStyle w:val="0"/>
        <w:spacing w:before="240" w:line-rule="auto"/>
        <w:ind w:firstLine="540"/>
        <w:jc w:val="both"/>
      </w:pPr>
      <w:r>
        <w:rPr>
          <w:sz w:val="24"/>
        </w:rPr>
        <w:t xml:space="preserve">79. Дисбаланс вращающихся частей машин, превышающий установленные изготовителем значения, не допускается.</w:t>
      </w:r>
    </w:p>
    <w:p>
      <w:pPr>
        <w:pStyle w:val="0"/>
        <w:spacing w:before="240" w:line-rule="auto"/>
        <w:ind w:firstLine="540"/>
        <w:jc w:val="both"/>
      </w:pPr>
      <w:r>
        <w:rPr>
          <w:sz w:val="24"/>
        </w:rPr>
        <w:t xml:space="preserve">80. Самоходные машины должны оборудоваться знаком аварийной остановки.</w:t>
      </w:r>
    </w:p>
    <w:p>
      <w:pPr>
        <w:pStyle w:val="0"/>
        <w:spacing w:before="240" w:line-rule="auto"/>
        <w:ind w:firstLine="540"/>
        <w:jc w:val="both"/>
      </w:pPr>
      <w:r>
        <w:rPr>
          <w:sz w:val="24"/>
        </w:rPr>
        <w:t xml:space="preserve">81. На машинах сзади должен устанавливаться государственный регистрационный знак.</w:t>
      </w:r>
    </w:p>
    <w:p>
      <w:pPr>
        <w:pStyle w:val="0"/>
        <w:spacing w:before="240" w:line-rule="auto"/>
        <w:ind w:firstLine="540"/>
        <w:jc w:val="both"/>
      </w:pPr>
      <w:r>
        <w:rPr>
          <w:sz w:val="24"/>
        </w:rPr>
        <w:t xml:space="preserve">Государственный регистрационный знак должен устанавливаться на плоской вертикальной поверхности, при этом должно исключаться загораживание государственного регистрационного знака элементами конструкции, а государственный регистрационный знак не должен закрывать внешние световые и светосигнальные приборы и выступать за боковой габарит.</w:t>
      </w:r>
    </w:p>
    <w:p>
      <w:pPr>
        <w:pStyle w:val="0"/>
        <w:spacing w:before="240" w:line-rule="auto"/>
        <w:ind w:firstLine="540"/>
        <w:jc w:val="both"/>
      </w:pPr>
      <w:r>
        <w:rPr>
          <w:sz w:val="24"/>
        </w:rPr>
        <w:t xml:space="preserve">Государственный регистрационный знак должен устанавливаться по оси симметрии машины или слева от нее по направлению движения машины.</w:t>
      </w:r>
    </w:p>
    <w:p>
      <w:pPr>
        <w:pStyle w:val="0"/>
        <w:spacing w:before="240" w:line-rule="auto"/>
        <w:ind w:firstLine="540"/>
        <w:jc w:val="both"/>
      </w:pPr>
      <w:r>
        <w:rPr>
          <w:sz w:val="24"/>
        </w:rPr>
        <w:t xml:space="preserve">82. На колесных тракторах класса 1,4 и выше, работающих с прицепами, должен устанавливаться знак "Автопоезд".</w:t>
      </w:r>
    </w:p>
    <w:p>
      <w:pPr>
        <w:pStyle w:val="0"/>
        <w:spacing w:before="240" w:line-rule="auto"/>
        <w:ind w:firstLine="540"/>
        <w:jc w:val="both"/>
      </w:pPr>
      <w:r>
        <w:rPr>
          <w:sz w:val="24"/>
        </w:rPr>
        <w:t xml:space="preserve">83. На самоходных машинах, имеющих максимальную конструктивную скорость не более 30 км/ч, должен устанавливаться знак "Тихоходное транспортное средство".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проведения</w:t>
      </w:r>
    </w:p>
    <w:p>
      <w:pPr>
        <w:pStyle w:val="0"/>
        <w:jc w:val="right"/>
      </w:pPr>
      <w:r>
        <w:rPr>
          <w:sz w:val="24"/>
        </w:rPr>
        <w:t xml:space="preserve">технического осмотра самоходных</w:t>
      </w:r>
    </w:p>
    <w:p>
      <w:pPr>
        <w:pStyle w:val="0"/>
        <w:jc w:val="right"/>
      </w:pPr>
      <w:r>
        <w:rPr>
          <w:sz w:val="24"/>
        </w:rPr>
        <w:t xml:space="preserve">машин и других 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2"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17.07.2024 N 969)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480"/>
        <w:gridCol w:w="8565"/>
      </w:tblGrid>
      <w:tr>
        <w:tc>
          <w:tcPr>
            <w:tcW w:w="480" w:type="dxa"/>
            <w:vAlign w:val="bottom"/>
            <w:tcBorders>
              <w:top w:val="nil"/>
              <w:left w:val="nil"/>
              <w:bottom w:val="nil"/>
              <w:right w:val="nil"/>
            </w:tcBorders>
          </w:tcPr>
          <w:p>
            <w:pPr>
              <w:pStyle w:val="0"/>
            </w:pPr>
            <w:r>
              <w:rPr>
                <w:sz w:val="24"/>
              </w:rPr>
              <w:t xml:space="preserve">В</w:t>
            </w:r>
          </w:p>
        </w:tc>
        <w:tc>
          <w:tcPr>
            <w:tcW w:w="8565" w:type="dxa"/>
            <w:tcBorders>
              <w:top w:val="nil"/>
              <w:left w:val="nil"/>
              <w:bottom w:val="single" w:sz="4"/>
              <w:right w:val="nil"/>
            </w:tcBorders>
          </w:tcPr>
          <w:p>
            <w:pPr>
              <w:pStyle w:val="0"/>
            </w:pPr>
            <w:r>
              <w:rPr>
                <w:sz w:val="24"/>
              </w:rPr>
            </w:r>
          </w:p>
        </w:tc>
      </w:tr>
      <w:tr>
        <w:tc>
          <w:tcPr>
            <w:tcW w:w="480" w:type="dxa"/>
            <w:vAlign w:val="bottom"/>
            <w:tcBorders>
              <w:top w:val="nil"/>
              <w:left w:val="nil"/>
              <w:bottom w:val="nil"/>
              <w:right w:val="nil"/>
            </w:tcBorders>
          </w:tcPr>
          <w:p>
            <w:pPr>
              <w:pStyle w:val="0"/>
            </w:pPr>
            <w:r>
              <w:rPr>
                <w:sz w:val="24"/>
              </w:rPr>
            </w:r>
          </w:p>
        </w:tc>
        <w:tc>
          <w:tcPr>
            <w:tcW w:w="8565" w:type="dxa"/>
            <w:tcBorders>
              <w:top w:val="single" w:sz="4"/>
              <w:left w:val="nil"/>
              <w:bottom w:val="nil"/>
              <w:right w:val="nil"/>
            </w:tcBorders>
          </w:tcPr>
          <w:p>
            <w:pPr>
              <w:pStyle w:val="0"/>
              <w:jc w:val="center"/>
            </w:pPr>
            <w:r>
              <w:rPr>
                <w:sz w:val="24"/>
              </w:rPr>
              <w:t xml:space="preserve">(полное наименование исполнительного органа субъекта Российской Федерации, уполномоченного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r>
        <w:tc>
          <w:tcPr>
            <w:tcW w:w="480" w:type="dxa"/>
            <w:vAlign w:val="bottom"/>
            <w:tcBorders>
              <w:top w:val="nil"/>
              <w:left w:val="nil"/>
              <w:bottom w:val="nil"/>
              <w:right w:val="nil"/>
            </w:tcBorders>
          </w:tcPr>
          <w:p>
            <w:pPr>
              <w:pStyle w:val="0"/>
            </w:pPr>
            <w:r>
              <w:rPr>
                <w:sz w:val="24"/>
              </w:rPr>
              <w:t xml:space="preserve">От</w:t>
            </w:r>
          </w:p>
        </w:tc>
        <w:tc>
          <w:tcPr>
            <w:tcW w:w="8565" w:type="dxa"/>
            <w:tcBorders>
              <w:top w:val="nil"/>
              <w:left w:val="nil"/>
              <w:bottom w:val="single" w:sz="4"/>
              <w:right w:val="nil"/>
            </w:tcBorders>
          </w:tcPr>
          <w:p>
            <w:pPr>
              <w:pStyle w:val="0"/>
            </w:pPr>
            <w:r>
              <w:rPr>
                <w:sz w:val="24"/>
              </w:rPr>
            </w:r>
          </w:p>
        </w:tc>
      </w:tr>
      <w:tr>
        <w:tc>
          <w:tcPr>
            <w:tcW w:w="480" w:type="dxa"/>
            <w:vAlign w:val="bottom"/>
            <w:tcBorders>
              <w:top w:val="nil"/>
              <w:left w:val="nil"/>
              <w:bottom w:val="nil"/>
              <w:right w:val="nil"/>
            </w:tcBorders>
          </w:tcPr>
          <w:p>
            <w:pPr>
              <w:pStyle w:val="0"/>
            </w:pPr>
            <w:r>
              <w:rPr>
                <w:sz w:val="24"/>
              </w:rPr>
            </w:r>
          </w:p>
        </w:tc>
        <w:tc>
          <w:tcPr>
            <w:tcW w:w="8565" w:type="dxa"/>
            <w:tcBorders>
              <w:top w:val="single" w:sz="4"/>
              <w:left w:val="nil"/>
              <w:bottom w:val="nil"/>
              <w:right w:val="nil"/>
            </w:tcBorders>
          </w:tcPr>
          <w:p>
            <w:pPr>
              <w:pStyle w:val="0"/>
              <w:jc w:val="center"/>
            </w:pPr>
            <w:r>
              <w:rPr>
                <w:sz w:val="24"/>
              </w:rPr>
              <w:t xml:space="preserve">(фамилия, имя, отчество (при наличии) физического лица или полное наименование юридического лица либо обособленного подразделения юридического лица)</w:t>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525"/>
        <w:gridCol w:w="3672"/>
        <w:gridCol w:w="2848"/>
      </w:tblGrid>
      <w:tr>
        <w:tc>
          <w:tcPr>
            <w:tcW w:w="2525" w:type="dxa"/>
            <w:tcBorders>
              <w:top w:val="single" w:sz="4"/>
              <w:bottom w:val="single" w:sz="4"/>
            </w:tcBorders>
          </w:tcPr>
          <w:p>
            <w:pPr>
              <w:pStyle w:val="0"/>
            </w:pPr>
            <w:r>
              <w:rPr>
                <w:sz w:val="24"/>
              </w:rPr>
              <w:t xml:space="preserve">Тел.</w:t>
            </w:r>
          </w:p>
        </w:tc>
        <w:tc>
          <w:tcPr>
            <w:tcW w:w="3672" w:type="dxa"/>
            <w:tcBorders>
              <w:top w:val="single" w:sz="4"/>
              <w:bottom w:val="single" w:sz="4"/>
            </w:tcBorders>
          </w:tcPr>
          <w:p>
            <w:pPr>
              <w:pStyle w:val="0"/>
            </w:pPr>
            <w:r>
              <w:rPr>
                <w:sz w:val="24"/>
              </w:rPr>
              <w:t xml:space="preserve">ОГРНИП/ОГРН</w:t>
            </w:r>
          </w:p>
        </w:tc>
        <w:tc>
          <w:tcPr>
            <w:tcW w:w="2848" w:type="dxa"/>
            <w:tcBorders>
              <w:top w:val="single" w:sz="4"/>
              <w:bottom w:val="single" w:sz="4"/>
            </w:tcBorders>
          </w:tcPr>
          <w:p>
            <w:pPr>
              <w:pStyle w:val="0"/>
            </w:pPr>
            <w:r>
              <w:rPr>
                <w:sz w:val="24"/>
              </w:rPr>
              <w:t xml:space="preserve">ИНН</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944"/>
        <w:gridCol w:w="3120"/>
        <w:gridCol w:w="4996"/>
      </w:tblGrid>
      <w:tr>
        <w:tc>
          <w:tcPr>
            <w:tcW w:w="944" w:type="dxa"/>
            <w:vAlign w:val="bottom"/>
            <w:tcBorders>
              <w:top w:val="nil"/>
              <w:left w:val="nil"/>
              <w:bottom w:val="nil"/>
              <w:right w:val="nil"/>
            </w:tcBorders>
          </w:tcPr>
          <w:p>
            <w:pPr>
              <w:pStyle w:val="0"/>
              <w:jc w:val="both"/>
            </w:pPr>
            <w:r>
              <w:rPr>
                <w:sz w:val="24"/>
              </w:rPr>
              <w:t xml:space="preserve">Адрес</w:t>
            </w:r>
          </w:p>
        </w:tc>
        <w:tc>
          <w:tcPr>
            <w:gridSpan w:val="2"/>
            <w:tcW w:w="8116" w:type="dxa"/>
            <w:tcBorders>
              <w:top w:val="nil"/>
              <w:left w:val="nil"/>
              <w:bottom w:val="single" w:sz="4"/>
              <w:right w:val="nil"/>
            </w:tcBorders>
          </w:tcPr>
          <w:p>
            <w:pPr>
              <w:pStyle w:val="0"/>
            </w:pPr>
            <w:r>
              <w:rPr>
                <w:sz w:val="24"/>
              </w:rPr>
            </w:r>
          </w:p>
        </w:tc>
      </w:tr>
      <w:tr>
        <w:tc>
          <w:tcPr>
            <w:tcW w:w="944" w:type="dxa"/>
            <w:tcBorders>
              <w:top w:val="nil"/>
              <w:left w:val="nil"/>
              <w:bottom w:val="nil"/>
              <w:right w:val="nil"/>
            </w:tcBorders>
          </w:tcPr>
          <w:p>
            <w:pPr>
              <w:pStyle w:val="0"/>
            </w:pPr>
            <w:r>
              <w:rPr>
                <w:sz w:val="24"/>
              </w:rPr>
            </w:r>
          </w:p>
        </w:tc>
        <w:tc>
          <w:tcPr>
            <w:gridSpan w:val="2"/>
            <w:tcW w:w="8116" w:type="dxa"/>
            <w:tcBorders>
              <w:top w:val="single" w:sz="4"/>
              <w:left w:val="nil"/>
              <w:bottom w:val="nil"/>
              <w:right w:val="nil"/>
            </w:tcBorders>
          </w:tcPr>
          <w:p>
            <w:pPr>
              <w:pStyle w:val="0"/>
              <w:jc w:val="center"/>
            </w:pPr>
            <w:r>
              <w:rPr>
                <w:sz w:val="24"/>
              </w:rPr>
              <w:t xml:space="preserve">(адрес места жительства физического лица)</w:t>
            </w:r>
          </w:p>
        </w:tc>
      </w:tr>
      <w:tr>
        <w:tc>
          <w:tcPr>
            <w:gridSpan w:val="2"/>
            <w:tcW w:w="4064" w:type="dxa"/>
            <w:vAlign w:val="bottom"/>
            <w:tcBorders>
              <w:top w:val="nil"/>
              <w:left w:val="nil"/>
              <w:bottom w:val="nil"/>
              <w:right w:val="nil"/>
            </w:tcBorders>
          </w:tcPr>
          <w:p>
            <w:pPr>
              <w:pStyle w:val="0"/>
              <w:jc w:val="both"/>
            </w:pPr>
            <w:r>
              <w:rPr>
                <w:sz w:val="24"/>
              </w:rPr>
              <w:t xml:space="preserve">Документ, удостоверяющий личность</w:t>
            </w:r>
          </w:p>
        </w:tc>
        <w:tc>
          <w:tcPr>
            <w:tcW w:w="4996" w:type="dxa"/>
            <w:tcBorders>
              <w:top w:val="nil"/>
              <w:left w:val="nil"/>
              <w:bottom w:val="single" w:sz="4"/>
              <w:right w:val="nil"/>
            </w:tcBorders>
          </w:tcPr>
          <w:p>
            <w:pPr>
              <w:pStyle w:val="0"/>
            </w:pPr>
            <w:r>
              <w:rPr>
                <w:sz w:val="24"/>
              </w:rPr>
            </w:r>
          </w:p>
        </w:tc>
      </w:tr>
      <w:tr>
        <w:tc>
          <w:tcPr>
            <w:gridSpan w:val="2"/>
            <w:tcW w:w="4064" w:type="dxa"/>
            <w:tcBorders>
              <w:top w:val="nil"/>
              <w:left w:val="nil"/>
              <w:bottom w:val="nil"/>
              <w:right w:val="nil"/>
            </w:tcBorders>
          </w:tcPr>
          <w:p>
            <w:pPr>
              <w:pStyle w:val="0"/>
            </w:pPr>
            <w:r>
              <w:rPr>
                <w:sz w:val="24"/>
              </w:rPr>
            </w:r>
          </w:p>
        </w:tc>
        <w:tc>
          <w:tcPr>
            <w:tcW w:w="4996" w:type="dxa"/>
            <w:tcBorders>
              <w:top w:val="single" w:sz="4"/>
              <w:left w:val="nil"/>
              <w:bottom w:val="nil"/>
              <w:right w:val="nil"/>
            </w:tcBorders>
          </w:tcPr>
          <w:p>
            <w:pPr>
              <w:pStyle w:val="0"/>
              <w:jc w:val="center"/>
            </w:pPr>
            <w:r>
              <w:rPr>
                <w:sz w:val="24"/>
              </w:rPr>
              <w:t xml:space="preserve">(наименование, серия, номер, кем выдан, когда)</w:t>
            </w:r>
          </w:p>
        </w:tc>
      </w:tr>
      <w:tr>
        <w:tc>
          <w:tcPr>
            <w:gridSpan w:val="3"/>
            <w:tcW w:w="9060" w:type="dxa"/>
            <w:tcBorders>
              <w:top w:val="nil"/>
              <w:left w:val="nil"/>
              <w:bottom w:val="single" w:sz="4"/>
              <w:right w:val="nil"/>
            </w:tcBorders>
          </w:tcPr>
          <w:p>
            <w:pPr>
              <w:pStyle w:val="0"/>
            </w:pPr>
            <w:r>
              <w:rPr>
                <w:sz w:val="24"/>
              </w:rPr>
            </w:r>
          </w:p>
        </w:tc>
      </w:tr>
      <w:tr>
        <w:tc>
          <w:tcPr>
            <w:gridSpan w:val="3"/>
            <w:tcW w:w="9060" w:type="dxa"/>
            <w:tcBorders>
              <w:top w:val="single" w:sz="4"/>
              <w:left w:val="nil"/>
              <w:bottom w:val="nil"/>
              <w:right w:val="nil"/>
            </w:tcBorders>
          </w:tcPr>
          <w:p>
            <w:pPr>
              <w:pStyle w:val="0"/>
              <w:jc w:val="both"/>
            </w:pPr>
            <w:r>
              <w:rPr>
                <w:sz w:val="24"/>
              </w:rPr>
              <w:t xml:space="preserve">Индекс __________________, адрес юридического лица в пределах места нахождения юридического лица либо адрес места нахождения его обособленного подразделения __________________________________________________________________________</w:t>
            </w:r>
          </w:p>
        </w:tc>
      </w:tr>
      <w:tr>
        <w:tc>
          <w:tcPr>
            <w:gridSpan w:val="3"/>
            <w:tcW w:w="9060" w:type="dxa"/>
            <w:tcBorders>
              <w:top w:val="nil"/>
              <w:left w:val="nil"/>
              <w:bottom w:val="single" w:sz="4"/>
              <w:right w:val="nil"/>
            </w:tcBorders>
          </w:tcPr>
          <w:p>
            <w:pPr>
              <w:pStyle w:val="0"/>
            </w:pPr>
            <w:r>
              <w:rPr>
                <w:sz w:val="24"/>
              </w:rPr>
            </w:r>
          </w:p>
        </w:tc>
      </w:tr>
      <w:tr>
        <w:tblPrEx>
          <w:tblBorders>
            <w:insideH w:val="single" w:sz="4"/>
          </w:tblBorders>
        </w:tblPrEx>
        <w:tc>
          <w:tcPr>
            <w:gridSpan w:val="3"/>
            <w:tcW w:w="9060" w:type="dxa"/>
            <w:tcBorders>
              <w:top w:val="single" w:sz="4"/>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bookmarkStart w:id="333" w:name="P333"/>
          <w:bookmarkEnd w:id="333"/>
          <w:p>
            <w:pPr>
              <w:pStyle w:val="0"/>
              <w:jc w:val="center"/>
            </w:pPr>
            <w:r>
              <w:rPr>
                <w:sz w:val="24"/>
              </w:rPr>
              <w:t xml:space="preserve">ЗАЯВЛЕНИЕ</w:t>
            </w:r>
          </w:p>
          <w:p>
            <w:pPr>
              <w:pStyle w:val="0"/>
              <w:jc w:val="center"/>
            </w:pPr>
            <w:r>
              <w:rPr>
                <w:sz w:val="24"/>
              </w:rPr>
              <w:t xml:space="preserve">о проведении технического осмотра самоходных машин и других видов техники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820"/>
        <w:gridCol w:w="6240"/>
      </w:tblGrid>
      <w:tr>
        <w:tc>
          <w:tcPr>
            <w:gridSpan w:val="2"/>
            <w:tcW w:w="9060" w:type="dxa"/>
            <w:tcBorders>
              <w:top w:val="nil"/>
              <w:left w:val="nil"/>
              <w:bottom w:val="nil"/>
              <w:right w:val="nil"/>
            </w:tcBorders>
          </w:tcPr>
          <w:p>
            <w:pPr>
              <w:pStyle w:val="0"/>
              <w:ind w:firstLine="283"/>
              <w:jc w:val="both"/>
            </w:pPr>
            <w:r>
              <w:rPr>
                <w:sz w:val="24"/>
              </w:rPr>
              <w:t xml:space="preserve">Прошу провести технический осмотр (ТО) самоходных машин и других видов техники (далее - машины) согласно </w:t>
            </w:r>
            <w:hyperlink w:history="0" w:anchor="P413" w:tooltip="Приложение">
              <w:r>
                <w:rPr>
                  <w:sz w:val="24"/>
                  <w:color w:val="0000ff"/>
                </w:rPr>
                <w:t xml:space="preserve">приложению</w:t>
              </w:r>
            </w:hyperlink>
            <w:r>
              <w:rPr>
                <w:sz w:val="24"/>
              </w:rPr>
              <w:t xml:space="preserve"> к настоящему заявлению.</w:t>
            </w:r>
          </w:p>
        </w:tc>
      </w:tr>
      <w:tr>
        <w:tc>
          <w:tcPr>
            <w:tcW w:w="2820" w:type="dxa"/>
            <w:vAlign w:val="bottom"/>
            <w:tcBorders>
              <w:top w:val="nil"/>
              <w:left w:val="nil"/>
              <w:bottom w:val="nil"/>
              <w:right w:val="nil"/>
            </w:tcBorders>
          </w:tcPr>
          <w:p>
            <w:pPr>
              <w:pStyle w:val="0"/>
            </w:pPr>
            <w:r>
              <w:rPr>
                <w:sz w:val="24"/>
              </w:rPr>
              <w:t xml:space="preserve">Прилагаемые документы:</w:t>
            </w:r>
          </w:p>
        </w:tc>
        <w:tc>
          <w:tcPr>
            <w:tcW w:w="6240" w:type="dxa"/>
            <w:tcBorders>
              <w:top w:val="nil"/>
              <w:left w:val="nil"/>
              <w:bottom w:val="single" w:sz="4"/>
              <w:right w:val="nil"/>
            </w:tcBorders>
          </w:tcPr>
          <w:p>
            <w:pPr>
              <w:pStyle w:val="0"/>
            </w:pPr>
            <w:r>
              <w:rPr>
                <w:sz w:val="24"/>
              </w:rPr>
            </w:r>
          </w:p>
        </w:tc>
      </w:tr>
      <w:tr>
        <w:tc>
          <w:tcPr>
            <w:gridSpan w:val="2"/>
            <w:tcW w:w="9060" w:type="dxa"/>
            <w:tcBorders>
              <w:top w:val="nil"/>
              <w:left w:val="nil"/>
              <w:bottom w:val="single" w:sz="4"/>
              <w:right w:val="nil"/>
            </w:tcBorders>
          </w:tcPr>
          <w:p>
            <w:pPr>
              <w:pStyle w:val="0"/>
            </w:pPr>
            <w:r>
              <w:rPr>
                <w:sz w:val="24"/>
              </w:rPr>
            </w:r>
          </w:p>
        </w:tc>
      </w:tr>
      <w:tr>
        <w:tblPrEx>
          <w:tblBorders>
            <w:insideH w:val="single" w:sz="4"/>
          </w:tblBorders>
        </w:tblPrEx>
        <w:tc>
          <w:tcPr>
            <w:gridSpan w:val="2"/>
            <w:tcW w:w="9060" w:type="dxa"/>
            <w:tcBorders>
              <w:top w:val="single" w:sz="4"/>
              <w:left w:val="nil"/>
              <w:bottom w:val="single" w:sz="4"/>
              <w:right w:val="nil"/>
            </w:tcBorders>
          </w:tcPr>
          <w:p>
            <w:pPr>
              <w:pStyle w:val="0"/>
            </w:pPr>
            <w:r>
              <w:rPr>
                <w:sz w:val="24"/>
              </w:rPr>
            </w:r>
          </w:p>
        </w:tc>
      </w:tr>
      <w:tr>
        <w:tblPrEx>
          <w:tblBorders>
            <w:insideH w:val="single" w:sz="4"/>
          </w:tblBorders>
        </w:tblPrEx>
        <w:tc>
          <w:tcPr>
            <w:gridSpan w:val="2"/>
            <w:tcW w:w="9060" w:type="dxa"/>
            <w:tcBorders>
              <w:top w:val="single" w:sz="4"/>
              <w:left w:val="nil"/>
              <w:bottom w:val="nil"/>
              <w:right w:val="nil"/>
            </w:tcBorders>
          </w:tcPr>
          <w:p>
            <w:pPr>
              <w:pStyle w:val="0"/>
            </w:pPr>
            <w:r>
              <w:rPr>
                <w:sz w:val="24"/>
              </w:rPr>
              <w:t xml:space="preserve">Квитанция об уплате госпошлины N ____________ от "__" ________________ 20__ г.</w:t>
            </w:r>
          </w:p>
          <w:p>
            <w:pPr>
              <w:pStyle w:val="0"/>
            </w:pPr>
            <w:r>
              <w:rPr>
                <w:sz w:val="24"/>
              </w:rPr>
              <w:t xml:space="preserve">Сумма ____________________________________________________________ рублей.</w:t>
            </w:r>
          </w:p>
          <w:p>
            <w:pPr>
              <w:pStyle w:val="0"/>
            </w:pPr>
            <w:r>
              <w:rPr>
                <w:sz w:val="24"/>
              </w:rPr>
              <w:t xml:space="preserve">Квитанция об уплате сбора N ____________ от "__" ________________ 20__ г.</w:t>
            </w:r>
          </w:p>
          <w:p>
            <w:pPr>
              <w:pStyle w:val="0"/>
            </w:pPr>
            <w:r>
              <w:rPr>
                <w:sz w:val="24"/>
              </w:rPr>
              <w:t xml:space="preserve">Сумма ____________________________________________________________ рублей.</w:t>
            </w:r>
          </w:p>
        </w:tc>
      </w:tr>
    </w:tbl>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2670"/>
        <w:gridCol w:w="1379"/>
        <w:gridCol w:w="5011"/>
      </w:tblGrid>
      <w:tr>
        <w:tc>
          <w:tcPr>
            <w:gridSpan w:val="3"/>
            <w:tcW w:w="9060" w:type="dxa"/>
            <w:tcBorders>
              <w:top w:val="single" w:sz="4"/>
              <w:left w:val="single" w:sz="4"/>
              <w:bottom w:val="nil"/>
              <w:right w:val="single" w:sz="4"/>
            </w:tcBorders>
          </w:tcPr>
          <w:p>
            <w:pPr>
              <w:pStyle w:val="0"/>
              <w:jc w:val="center"/>
            </w:pPr>
            <w:r>
              <w:rPr>
                <w:sz w:val="24"/>
              </w:rPr>
              <w:t xml:space="preserve">Информация о проведении ТО машин</w:t>
            </w:r>
          </w:p>
        </w:tc>
      </w:tr>
      <w:tr>
        <w:tc>
          <w:tcPr>
            <w:tcW w:w="2670" w:type="dxa"/>
            <w:vAlign w:val="bottom"/>
            <w:tcBorders>
              <w:top w:val="nil"/>
              <w:left w:val="single" w:sz="4"/>
              <w:bottom w:val="nil"/>
              <w:right w:val="nil"/>
            </w:tcBorders>
          </w:tcPr>
          <w:p>
            <w:pPr>
              <w:pStyle w:val="0"/>
            </w:pPr>
            <w:r>
              <w:rPr>
                <w:sz w:val="24"/>
              </w:rPr>
              <w:t xml:space="preserve">Заполняется заявителем</w:t>
            </w:r>
          </w:p>
        </w:tc>
        <w:tc>
          <w:tcPr>
            <w:gridSpan w:val="2"/>
            <w:tcW w:w="6390" w:type="dxa"/>
            <w:tcBorders>
              <w:top w:val="nil"/>
              <w:left w:val="nil"/>
              <w:bottom w:val="single" w:sz="4"/>
              <w:right w:val="single" w:sz="4"/>
            </w:tcBorders>
          </w:tcPr>
          <w:p>
            <w:pPr>
              <w:pStyle w:val="0"/>
            </w:pPr>
            <w:r>
              <w:rPr>
                <w:sz w:val="24"/>
              </w:rPr>
            </w:r>
          </w:p>
        </w:tc>
      </w:tr>
      <w:tr>
        <w:tc>
          <w:tcPr>
            <w:gridSpan w:val="2"/>
            <w:tcW w:w="4049" w:type="dxa"/>
            <w:vAlign w:val="bottom"/>
            <w:tcBorders>
              <w:top w:val="nil"/>
              <w:left w:val="single" w:sz="4"/>
              <w:bottom w:val="nil"/>
              <w:right w:val="nil"/>
            </w:tcBorders>
          </w:tcPr>
          <w:p>
            <w:pPr>
              <w:pStyle w:val="0"/>
            </w:pPr>
            <w:r>
              <w:rPr>
                <w:sz w:val="24"/>
              </w:rPr>
              <w:t xml:space="preserve">ТО машин прошу провести по адресу</w:t>
            </w:r>
          </w:p>
        </w:tc>
        <w:tc>
          <w:tcPr>
            <w:tcW w:w="5011" w:type="dxa"/>
            <w:tcBorders>
              <w:top w:val="single" w:sz="4"/>
              <w:left w:val="nil"/>
              <w:bottom w:val="single" w:sz="4"/>
              <w:right w:val="single" w:sz="4"/>
            </w:tcBorders>
          </w:tcPr>
          <w:p>
            <w:pPr>
              <w:pStyle w:val="0"/>
            </w:pPr>
            <w:r>
              <w:rPr>
                <w:sz w:val="24"/>
              </w:rPr>
            </w:r>
          </w:p>
        </w:tc>
      </w:tr>
      <w:tr>
        <w:tc>
          <w:tcPr>
            <w:gridSpan w:val="3"/>
            <w:tcW w:w="9060" w:type="dxa"/>
            <w:tcBorders>
              <w:top w:val="nil"/>
              <w:left w:val="single" w:sz="4"/>
              <w:bottom w:val="single" w:sz="4"/>
              <w:right w:val="single" w:sz="4"/>
            </w:tcBorders>
          </w:tcPr>
          <w:p>
            <w:pPr>
              <w:pStyle w:val="0"/>
            </w:pPr>
            <w:r>
              <w:rPr>
                <w:sz w:val="24"/>
              </w:rPr>
            </w:r>
          </w:p>
        </w:tc>
      </w:tr>
      <w:tr>
        <w:tblPrEx>
          <w:tblBorders>
            <w:insideH w:val="single" w:sz="4"/>
          </w:tblBorders>
        </w:tblPrEx>
        <w:tc>
          <w:tcPr>
            <w:gridSpan w:val="3"/>
            <w:tcW w:w="9060" w:type="dxa"/>
            <w:tcBorders>
              <w:top w:val="single" w:sz="4"/>
              <w:left w:val="single" w:sz="4"/>
              <w:bottom w:val="single" w:sz="4"/>
              <w:right w:val="single" w:sz="4"/>
            </w:tcBorders>
          </w:tcPr>
          <w:p>
            <w:pPr>
              <w:pStyle w:val="0"/>
            </w:pPr>
            <w:r>
              <w:rPr>
                <w:sz w:val="24"/>
              </w:rPr>
            </w:r>
          </w:p>
        </w:tc>
      </w:tr>
      <w:tr>
        <w:tblPrEx>
          <w:tblBorders>
            <w:insideH w:val="single" w:sz="4"/>
          </w:tblBorders>
        </w:tblPrEx>
        <w:tc>
          <w:tcPr>
            <w:gridSpan w:val="3"/>
            <w:tcW w:w="9060" w:type="dxa"/>
            <w:tcBorders>
              <w:top w:val="single" w:sz="4"/>
              <w:left w:val="single" w:sz="4"/>
              <w:bottom w:val="single" w:sz="4"/>
              <w:right w:val="single" w:sz="4"/>
            </w:tcBorders>
          </w:tcPr>
          <w:p>
            <w:pPr>
              <w:pStyle w:val="0"/>
            </w:pPr>
            <w:r>
              <w:rPr>
                <w:sz w:val="24"/>
              </w:rPr>
              <w:t xml:space="preserve">Дата осмотра "__" ______________ 20__ г.</w:t>
            </w:r>
          </w:p>
          <w:p>
            <w:pPr>
              <w:pStyle w:val="0"/>
            </w:pPr>
            <w:r>
              <w:rPr>
                <w:sz w:val="24"/>
              </w:rPr>
              <w:t xml:space="preserve">Время осмотра _____________________</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jc w:val="both"/>
            </w:pPr>
            <w:r>
              <w:rPr>
                <w:sz w:val="24"/>
              </w:rPr>
              <w:t xml:space="preserve">ТО машин доверяется провести:</w:t>
            </w:r>
          </w:p>
        </w:tc>
      </w:tr>
      <w:tr>
        <w:tc>
          <w:tcPr>
            <w:tcW w:w="9060" w:type="dxa"/>
            <w:tcBorders>
              <w:top w:val="nil"/>
              <w:left w:val="nil"/>
              <w:bottom w:val="single" w:sz="4"/>
              <w:right w:val="nil"/>
            </w:tcBorders>
          </w:tcPr>
          <w:p>
            <w:pPr>
              <w:pStyle w:val="0"/>
            </w:pPr>
            <w:r>
              <w:rPr>
                <w:sz w:val="24"/>
              </w:rPr>
            </w:r>
          </w:p>
        </w:tc>
      </w:tr>
      <w:tr>
        <w:tc>
          <w:tcPr>
            <w:tcW w:w="9060" w:type="dxa"/>
            <w:tcBorders>
              <w:top w:val="single" w:sz="4"/>
              <w:left w:val="nil"/>
              <w:bottom w:val="nil"/>
              <w:right w:val="nil"/>
            </w:tcBorders>
          </w:tcPr>
          <w:p>
            <w:pPr>
              <w:pStyle w:val="0"/>
              <w:jc w:val="center"/>
            </w:pPr>
            <w:r>
              <w:rPr>
                <w:sz w:val="24"/>
              </w:rPr>
              <w:t xml:space="preserve">(фамилия, имя, отчество (при наличии), должность, наименование документа, удостоверяющего личность, серия, номер, когда и кем выдан, сведения о доверенности)</w:t>
            </w:r>
          </w:p>
        </w:tc>
      </w:tr>
      <w:tr>
        <w:tc>
          <w:tcPr>
            <w:tcW w:w="9060" w:type="dxa"/>
            <w:tcBorders>
              <w:top w:val="nil"/>
              <w:left w:val="nil"/>
              <w:bottom w:val="single" w:sz="4"/>
              <w:right w:val="nil"/>
            </w:tcBorders>
          </w:tcPr>
          <w:p>
            <w:pPr>
              <w:pStyle w:val="0"/>
            </w:pPr>
            <w:r>
              <w:rPr>
                <w:sz w:val="24"/>
              </w:rPr>
            </w:r>
          </w:p>
        </w:tc>
      </w:tr>
      <w:tr>
        <w:tblPrEx>
          <w:tblBorders>
            <w:insideH w:val="single" w:sz="4"/>
          </w:tblBorders>
        </w:tblPrEx>
        <w:tc>
          <w:tcPr>
            <w:tcW w:w="9060" w:type="dxa"/>
            <w:tcBorders>
              <w:top w:val="single" w:sz="4"/>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755"/>
        <w:gridCol w:w="340"/>
        <w:gridCol w:w="1516"/>
        <w:gridCol w:w="340"/>
        <w:gridCol w:w="3639"/>
        <w:gridCol w:w="340"/>
        <w:gridCol w:w="1124"/>
      </w:tblGrid>
      <w:tr>
        <w:tblPrEx>
          <w:tblBorders>
            <w:insideH w:val="single" w:sz="4"/>
          </w:tblBorders>
        </w:tblPrEx>
        <w:tc>
          <w:tcPr>
            <w:tcW w:w="1755"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16"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639"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124" w:type="dxa"/>
            <w:tcBorders>
              <w:top w:val="nil"/>
              <w:left w:val="nil"/>
              <w:bottom w:val="single" w:sz="4"/>
              <w:right w:val="nil"/>
            </w:tcBorders>
          </w:tcPr>
          <w:p>
            <w:pPr>
              <w:pStyle w:val="0"/>
            </w:pPr>
            <w:r>
              <w:rPr>
                <w:sz w:val="24"/>
              </w:rPr>
            </w:r>
          </w:p>
        </w:tc>
      </w:tr>
      <w:tr>
        <w:tc>
          <w:tcPr>
            <w:tcW w:w="1755" w:type="dxa"/>
            <w:tcBorders>
              <w:top w:val="single" w:sz="4"/>
              <w:left w:val="nil"/>
              <w:bottom w:val="nil"/>
              <w:right w:val="nil"/>
            </w:tcBorders>
          </w:tcPr>
          <w:p>
            <w:pPr>
              <w:pStyle w:val="0"/>
              <w:jc w:val="center"/>
            </w:pPr>
            <w:r>
              <w:rPr>
                <w:sz w:val="24"/>
              </w:rPr>
              <w:t xml:space="preserve">(контактный телефон)</w:t>
            </w:r>
          </w:p>
        </w:tc>
        <w:tc>
          <w:tcPr>
            <w:tcW w:w="340" w:type="dxa"/>
            <w:tcBorders>
              <w:top w:val="nil"/>
              <w:left w:val="nil"/>
              <w:bottom w:val="nil"/>
              <w:right w:val="nil"/>
            </w:tcBorders>
          </w:tcPr>
          <w:p>
            <w:pPr>
              <w:pStyle w:val="0"/>
            </w:pPr>
            <w:r>
              <w:rPr>
                <w:sz w:val="24"/>
              </w:rPr>
            </w:r>
          </w:p>
        </w:tc>
        <w:tc>
          <w:tcPr>
            <w:tcW w:w="1516"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3639" w:type="dxa"/>
            <w:tcBorders>
              <w:top w:val="single" w:sz="4"/>
              <w:left w:val="nil"/>
              <w:bottom w:val="nil"/>
              <w:right w:val="nil"/>
            </w:tcBorders>
          </w:tcPr>
          <w:p>
            <w:pPr>
              <w:pStyle w:val="0"/>
              <w:jc w:val="center"/>
            </w:pPr>
            <w:r>
              <w:rPr>
                <w:sz w:val="24"/>
              </w:rPr>
              <w:t xml:space="preserve">(фамилия, инициалы руководителя организации)</w:t>
            </w:r>
          </w:p>
        </w:tc>
        <w:tc>
          <w:tcPr>
            <w:tcW w:w="340" w:type="dxa"/>
            <w:tcBorders>
              <w:top w:val="nil"/>
              <w:left w:val="nil"/>
              <w:bottom w:val="nil"/>
              <w:right w:val="nil"/>
            </w:tcBorders>
          </w:tcPr>
          <w:p>
            <w:pPr>
              <w:pStyle w:val="0"/>
            </w:pPr>
            <w:r>
              <w:rPr>
                <w:sz w:val="24"/>
              </w:rPr>
            </w:r>
          </w:p>
        </w:tc>
        <w:tc>
          <w:tcPr>
            <w:tcW w:w="1124" w:type="dxa"/>
            <w:tcBorders>
              <w:top w:val="single" w:sz="4"/>
              <w:left w:val="nil"/>
              <w:bottom w:val="nil"/>
              <w:right w:val="nil"/>
            </w:tcBorders>
          </w:tcPr>
          <w:p>
            <w:pPr>
              <w:pStyle w:val="0"/>
              <w:jc w:val="center"/>
            </w:pPr>
            <w:r>
              <w:rPr>
                <w:sz w:val="24"/>
              </w:rPr>
              <w:t xml:space="preserve">(дата)</w:t>
            </w:r>
          </w:p>
        </w:tc>
      </w:tr>
      <w:tr>
        <w:tc>
          <w:tcPr>
            <w:gridSpan w:val="7"/>
            <w:tcW w:w="9054" w:type="dxa"/>
            <w:tcBorders>
              <w:top w:val="nil"/>
              <w:left w:val="nil"/>
              <w:bottom w:val="nil"/>
              <w:right w:val="nil"/>
            </w:tcBorders>
          </w:tcPr>
          <w:p>
            <w:pPr>
              <w:pStyle w:val="0"/>
              <w:jc w:val="both"/>
            </w:pPr>
            <w:r>
              <w:rPr>
                <w:sz w:val="24"/>
              </w:rPr>
              <w:t xml:space="preserve">МП (при наличии)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ind w:firstLine="283"/>
              <w:jc w:val="both"/>
            </w:pPr>
            <w:r>
              <w:rPr>
                <w:sz w:val="24"/>
              </w:rPr>
              <w:t xml:space="preserve">Настоящим подтверждаю свое согласие на осуществление обработки, в том числе в автоматизированном режиме, Министерством сельского хозяйства Российской Федерации и ______________________________________________________________</w:t>
            </w:r>
          </w:p>
        </w:tc>
      </w:tr>
      <w:tr>
        <w:tc>
          <w:tcPr>
            <w:tcW w:w="9060" w:type="dxa"/>
            <w:tcBorders>
              <w:top w:val="nil"/>
              <w:left w:val="nil"/>
              <w:bottom w:val="single" w:sz="4"/>
              <w:right w:val="nil"/>
            </w:tcBorders>
          </w:tcPr>
          <w:p>
            <w:pPr>
              <w:pStyle w:val="0"/>
            </w:pPr>
            <w:r>
              <w:rPr>
                <w:sz w:val="24"/>
              </w:rPr>
            </w:r>
          </w:p>
        </w:tc>
      </w:tr>
      <w:tr>
        <w:tc>
          <w:tcPr>
            <w:tcW w:w="9060" w:type="dxa"/>
            <w:tcBorders>
              <w:top w:val="single" w:sz="4"/>
              <w:left w:val="nil"/>
              <w:bottom w:val="nil"/>
              <w:right w:val="nil"/>
            </w:tcBorders>
          </w:tcPr>
          <w:p>
            <w:pPr>
              <w:pStyle w:val="0"/>
              <w:jc w:val="center"/>
            </w:pPr>
            <w:r>
              <w:rPr>
                <w:sz w:val="24"/>
              </w:rPr>
              <w:t xml:space="preserve">(полное наименование органа гостехнадзора)</w:t>
            </w:r>
          </w:p>
        </w:tc>
      </w:tr>
      <w:tr>
        <w:tc>
          <w:tcPr>
            <w:tcW w:w="9060" w:type="dxa"/>
            <w:tcBorders>
              <w:top w:val="nil"/>
              <w:left w:val="nil"/>
              <w:bottom w:val="nil"/>
              <w:right w:val="nil"/>
            </w:tcBorders>
          </w:tcPr>
          <w:p>
            <w:pPr>
              <w:pStyle w:val="0"/>
              <w:jc w:val="both"/>
            </w:pPr>
            <w:r>
              <w:rPr>
                <w:sz w:val="24"/>
              </w:rPr>
              <w:t xml:space="preserve">моих персональных данных (персональных данных недееспособного лица - субъекта персональных данных (в случае если заявитель является законным представителем), включая сбор, систематизацию, накопление, хранение, уточнение (обновление, изменение), использование, обезличивание, распространение (в том числе передача третьим лицам), блокирование, уничтожение персональных данных.</w:t>
            </w:r>
          </w:p>
          <w:p>
            <w:pPr>
              <w:pStyle w:val="0"/>
              <w:ind w:firstLine="283"/>
              <w:jc w:val="both"/>
            </w:pPr>
            <w:r>
              <w:rPr>
                <w:sz w:val="24"/>
              </w:rPr>
              <w:t xml:space="preserve">Настоящее согласие не устанавливает предельных сроков обработки данных. Порядок отзыва согласия на обработку персональных данных мне известен.</w:t>
            </w:r>
          </w:p>
          <w:p>
            <w:pPr>
              <w:pStyle w:val="0"/>
              <w:ind w:firstLine="283"/>
              <w:jc w:val="both"/>
            </w:pPr>
            <w:r>
              <w:rPr>
                <w:sz w:val="24"/>
              </w:rPr>
              <w:t xml:space="preserve">Контактная информация субъекта персональных данных для представления информации об обработке персональных данных:</w:t>
            </w:r>
          </w:p>
        </w:tc>
      </w:tr>
      <w:tr>
        <w:tc>
          <w:tcPr>
            <w:tcW w:w="9060" w:type="dxa"/>
            <w:tcBorders>
              <w:top w:val="nil"/>
              <w:left w:val="nil"/>
              <w:bottom w:val="single" w:sz="4"/>
              <w:right w:val="nil"/>
            </w:tcBorders>
          </w:tcPr>
          <w:p>
            <w:pPr>
              <w:pStyle w:val="0"/>
            </w:pPr>
            <w:r>
              <w:rPr>
                <w:sz w:val="24"/>
              </w:rPr>
            </w:r>
          </w:p>
        </w:tc>
      </w:tr>
      <w:tr>
        <w:tc>
          <w:tcPr>
            <w:tcW w:w="9060" w:type="dxa"/>
            <w:tcBorders>
              <w:top w:val="single" w:sz="4"/>
              <w:left w:val="nil"/>
              <w:bottom w:val="nil"/>
              <w:right w:val="nil"/>
            </w:tcBorders>
          </w:tcPr>
          <w:p>
            <w:pPr>
              <w:pStyle w:val="0"/>
              <w:jc w:val="center"/>
            </w:pPr>
            <w:r>
              <w:rPr>
                <w:sz w:val="24"/>
              </w:rPr>
              <w:t xml:space="preserve">(почтовый адрес, телефон)</w:t>
            </w:r>
          </w:p>
        </w:tc>
      </w:tr>
      <w:tr>
        <w:tc>
          <w:tcPr>
            <w:tcW w:w="9060" w:type="dxa"/>
            <w:tcBorders>
              <w:top w:val="nil"/>
              <w:left w:val="nil"/>
              <w:bottom w:val="single" w:sz="4"/>
              <w:right w:val="nil"/>
            </w:tcBorders>
          </w:tcPr>
          <w:p>
            <w:pPr>
              <w:pStyle w:val="0"/>
            </w:pPr>
            <w:r>
              <w:rPr>
                <w:sz w:val="24"/>
              </w:rPr>
            </w:r>
          </w:p>
        </w:tc>
      </w:tr>
      <w:tr>
        <w:tblPrEx>
          <w:tblBorders>
            <w:insideH w:val="single" w:sz="4"/>
          </w:tblBorders>
        </w:tblPrEx>
        <w:tc>
          <w:tcPr>
            <w:tcW w:w="9060" w:type="dxa"/>
            <w:tcBorders>
              <w:top w:val="single" w:sz="4"/>
              <w:left w:val="nil"/>
              <w:bottom w:val="nil"/>
              <w:right w:val="nil"/>
            </w:tcBorders>
          </w:tcPr>
          <w:p>
            <w:pPr>
              <w:pStyle w:val="0"/>
              <w:jc w:val="center"/>
            </w:pPr>
            <w:r>
              <w:rPr>
                <w:sz w:val="24"/>
              </w:rPr>
              <w:t xml:space="preserve">(адрес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pPr>
            <w:r>
              <w:rPr>
                <w:sz w:val="24"/>
              </w:rPr>
              <w:t xml:space="preserve">"__" ____________________ 20__ г. Подпись ___________</w:t>
            </w:r>
          </w:p>
        </w:tc>
      </w:tr>
    </w:tbl>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2309"/>
        <w:gridCol w:w="3375"/>
        <w:gridCol w:w="1095"/>
        <w:gridCol w:w="1921"/>
        <w:gridCol w:w="340"/>
      </w:tblGrid>
      <w:tr>
        <w:tc>
          <w:tcPr>
            <w:gridSpan w:val="5"/>
            <w:tcW w:w="9040" w:type="dxa"/>
            <w:tcBorders>
              <w:top w:val="single" w:sz="4"/>
              <w:left w:val="single" w:sz="4"/>
              <w:bottom w:val="nil"/>
              <w:right w:val="single" w:sz="4"/>
            </w:tcBorders>
          </w:tcPr>
          <w:p>
            <w:pPr>
              <w:pStyle w:val="0"/>
              <w:jc w:val="center"/>
            </w:pPr>
            <w:r>
              <w:rPr>
                <w:sz w:val="24"/>
              </w:rPr>
              <w:t xml:space="preserve">Отметка о принятии заявления</w:t>
            </w:r>
          </w:p>
        </w:tc>
      </w:tr>
      <w:tr>
        <w:tc>
          <w:tcPr>
            <w:gridSpan w:val="2"/>
            <w:tcW w:w="5684" w:type="dxa"/>
            <w:vAlign w:val="bottom"/>
            <w:tcBorders>
              <w:top w:val="nil"/>
              <w:left w:val="single" w:sz="4"/>
              <w:bottom w:val="nil"/>
              <w:right w:val="nil"/>
            </w:tcBorders>
          </w:tcPr>
          <w:p>
            <w:pPr>
              <w:pStyle w:val="0"/>
            </w:pPr>
            <w:r>
              <w:rPr>
                <w:sz w:val="24"/>
              </w:rPr>
              <w:t xml:space="preserve">Дата "__" ___________ 20__ г.</w:t>
            </w:r>
          </w:p>
          <w:p>
            <w:pPr>
              <w:pStyle w:val="0"/>
            </w:pPr>
            <w:r>
              <w:rPr>
                <w:sz w:val="24"/>
              </w:rPr>
              <w:t xml:space="preserve">Государственный инженер - инспектор</w:t>
            </w:r>
          </w:p>
          <w:p>
            <w:pPr>
              <w:pStyle w:val="0"/>
            </w:pPr>
            <w:r>
              <w:rPr>
                <w:sz w:val="24"/>
              </w:rPr>
              <w:t xml:space="preserve">органа гостехнадзора</w:t>
            </w:r>
          </w:p>
        </w:tc>
        <w:tc>
          <w:tcPr>
            <w:gridSpan w:val="2"/>
            <w:tcW w:w="3016" w:type="dxa"/>
            <w:vAlign w:val="bottom"/>
            <w:tcBorders>
              <w:top w:val="nil"/>
              <w:left w:val="nil"/>
              <w:bottom w:val="nil"/>
              <w:right w:val="nil"/>
            </w:tcBorders>
          </w:tcPr>
          <w:p>
            <w:pPr>
              <w:pStyle w:val="0"/>
              <w:jc w:val="both"/>
            </w:pPr>
            <w:r>
              <w:rPr>
                <w:sz w:val="24"/>
              </w:rPr>
              <w:t xml:space="preserve">Подпись</w:t>
            </w:r>
          </w:p>
        </w:tc>
        <w:tc>
          <w:tcPr>
            <w:tcW w:w="340" w:type="dxa"/>
            <w:tcBorders>
              <w:top w:val="nil"/>
              <w:left w:val="nil"/>
              <w:bottom w:val="nil"/>
              <w:right w:val="single" w:sz="4"/>
            </w:tcBorders>
          </w:tcPr>
          <w:p>
            <w:pPr>
              <w:pStyle w:val="0"/>
            </w:pPr>
            <w:r>
              <w:rPr>
                <w:sz w:val="24"/>
              </w:rPr>
            </w:r>
          </w:p>
        </w:tc>
      </w:tr>
      <w:tr>
        <w:tc>
          <w:tcPr>
            <w:tcW w:w="2309" w:type="dxa"/>
            <w:tcBorders>
              <w:top w:val="nil"/>
              <w:left w:val="single" w:sz="4"/>
              <w:bottom w:val="nil"/>
              <w:right w:val="nil"/>
            </w:tcBorders>
          </w:tcPr>
          <w:p>
            <w:pPr>
              <w:pStyle w:val="0"/>
            </w:pPr>
            <w:r>
              <w:rPr>
                <w:sz w:val="24"/>
              </w:rPr>
            </w:r>
          </w:p>
        </w:tc>
        <w:tc>
          <w:tcPr>
            <w:tcW w:w="3375" w:type="dxa"/>
            <w:tcBorders>
              <w:top w:val="single" w:sz="4"/>
              <w:left w:val="nil"/>
              <w:bottom w:val="nil"/>
              <w:right w:val="nil"/>
            </w:tcBorders>
          </w:tcPr>
          <w:p>
            <w:pPr>
              <w:pStyle w:val="0"/>
              <w:jc w:val="center"/>
            </w:pPr>
            <w:r>
              <w:rPr>
                <w:sz w:val="24"/>
              </w:rPr>
              <w:t xml:space="preserve">(фамилия, инициалы)</w:t>
            </w:r>
          </w:p>
        </w:tc>
        <w:tc>
          <w:tcPr>
            <w:tcW w:w="1095" w:type="dxa"/>
            <w:tcBorders>
              <w:top w:val="nil"/>
              <w:left w:val="nil"/>
              <w:bottom w:val="nil"/>
              <w:right w:val="nil"/>
            </w:tcBorders>
          </w:tcPr>
          <w:p>
            <w:pPr>
              <w:pStyle w:val="0"/>
            </w:pPr>
            <w:r>
              <w:rPr>
                <w:sz w:val="24"/>
              </w:rPr>
            </w:r>
          </w:p>
        </w:tc>
        <w:tc>
          <w:tcPr>
            <w:tcW w:w="1921" w:type="dxa"/>
            <w:tcBorders>
              <w:top w:val="single" w:sz="4"/>
              <w:left w:val="nil"/>
              <w:bottom w:val="nil"/>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gridSpan w:val="5"/>
            <w:tcW w:w="9040" w:type="dxa"/>
            <w:tcBorders>
              <w:top w:val="nil"/>
              <w:left w:val="single" w:sz="4"/>
              <w:bottom w:val="single" w:sz="4"/>
              <w:right w:val="single" w:sz="4"/>
            </w:tcBorders>
          </w:tcPr>
          <w:p>
            <w:pPr>
              <w:pStyle w:val="0"/>
            </w:pPr>
            <w:r>
              <w:rPr>
                <w:sz w:val="24"/>
              </w:rPr>
              <w:t xml:space="preserve">МП</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45"/>
      </w:tblGrid>
      <w:tr>
        <w:tc>
          <w:tcPr>
            <w:tcW w:w="9045" w:type="dxa"/>
            <w:tcBorders>
              <w:top w:val="nil"/>
              <w:left w:val="nil"/>
              <w:bottom w:val="nil"/>
              <w:right w:val="nil"/>
            </w:tcBorders>
          </w:tcPr>
          <w:p>
            <w:pPr>
              <w:pStyle w:val="0"/>
              <w:jc w:val="both"/>
            </w:pPr>
            <w:r>
              <w:rPr>
                <w:sz w:val="24"/>
              </w:rPr>
              <w:t xml:space="preserve">ТО машин провел государственный инженер - инспектор органа гостехнадзора _________________________________________________________________________</w:t>
            </w:r>
          </w:p>
          <w:p>
            <w:pPr>
              <w:pStyle w:val="0"/>
              <w:jc w:val="center"/>
            </w:pPr>
            <w:r>
              <w:rPr>
                <w:sz w:val="24"/>
              </w:rPr>
              <w:t xml:space="preserve">(фамилия, инициалы)</w:t>
            </w:r>
          </w:p>
        </w:tc>
      </w:tr>
      <w:tr>
        <w:tc>
          <w:tcPr>
            <w:tcW w:w="9045" w:type="dxa"/>
            <w:tcBorders>
              <w:top w:val="nil"/>
              <w:left w:val="nil"/>
              <w:bottom w:val="nil"/>
              <w:right w:val="nil"/>
            </w:tcBorders>
          </w:tcPr>
          <w:p>
            <w:pPr>
              <w:pStyle w:val="0"/>
            </w:pPr>
            <w:r>
              <w:rPr>
                <w:sz w:val="24"/>
              </w:rPr>
              <w:t xml:space="preserve">Подпись _____________</w:t>
            </w:r>
          </w:p>
        </w:tc>
      </w:tr>
      <w:tr>
        <w:tc>
          <w:tcPr>
            <w:tcW w:w="9045" w:type="dxa"/>
            <w:tcBorders>
              <w:top w:val="nil"/>
              <w:left w:val="nil"/>
              <w:bottom w:val="nil"/>
              <w:right w:val="nil"/>
            </w:tcBorders>
          </w:tcPr>
          <w:p>
            <w:pPr>
              <w:pStyle w:val="0"/>
            </w:pPr>
            <w:r>
              <w:rPr>
                <w:sz w:val="24"/>
              </w:rPr>
              <w:t xml:space="preserve">МП</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413" w:name="P413"/>
    <w:bookmarkEnd w:id="413"/>
    <w:p>
      <w:pPr>
        <w:pStyle w:val="0"/>
        <w:outlineLvl w:val="2"/>
        <w:jc w:val="right"/>
      </w:pPr>
      <w:r>
        <w:rPr>
          <w:sz w:val="24"/>
        </w:rPr>
        <w:t xml:space="preserve">Приложение</w:t>
      </w:r>
    </w:p>
    <w:p>
      <w:pPr>
        <w:pStyle w:val="0"/>
        <w:jc w:val="right"/>
      </w:pPr>
      <w:r>
        <w:rPr>
          <w:sz w:val="24"/>
        </w:rPr>
        <w:t xml:space="preserve">к заявлению о проведении технического</w:t>
      </w:r>
    </w:p>
    <w:p>
      <w:pPr>
        <w:pStyle w:val="0"/>
        <w:jc w:val="right"/>
      </w:pPr>
      <w:r>
        <w:rPr>
          <w:sz w:val="24"/>
        </w:rPr>
        <w:t xml:space="preserve">осмотра самоходных машин и других</w:t>
      </w:r>
    </w:p>
    <w:p>
      <w:pPr>
        <w:pStyle w:val="0"/>
        <w:jc w:val="right"/>
      </w:pPr>
      <w:r>
        <w:rPr>
          <w:sz w:val="24"/>
        </w:rPr>
        <w:t xml:space="preserve">видов техники</w:t>
      </w:r>
    </w:p>
    <w:p>
      <w:pPr>
        <w:pStyle w:val="0"/>
        <w:jc w:val="right"/>
      </w:pPr>
      <w:r>
        <w:rPr>
          <w:sz w:val="24"/>
        </w:rPr>
        <w:t xml:space="preserve">N ________________</w:t>
      </w:r>
    </w:p>
    <w:p>
      <w:pPr>
        <w:pStyle w:val="0"/>
        <w:jc w:val="right"/>
      </w:pPr>
      <w:r>
        <w:rPr>
          <w:sz w:val="24"/>
        </w:rPr>
        <w:t xml:space="preserve">от ___________________</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1644"/>
        <w:gridCol w:w="1474"/>
        <w:gridCol w:w="963"/>
        <w:gridCol w:w="2040"/>
        <w:gridCol w:w="1077"/>
        <w:gridCol w:w="3118"/>
        <w:gridCol w:w="1190"/>
        <w:gridCol w:w="1417"/>
      </w:tblGrid>
      <w:tr>
        <w:tc>
          <w:tcPr>
            <w:tcW w:w="680" w:type="dxa"/>
          </w:tcPr>
          <w:p>
            <w:pPr>
              <w:pStyle w:val="0"/>
              <w:jc w:val="center"/>
            </w:pPr>
            <w:r>
              <w:rPr>
                <w:sz w:val="24"/>
              </w:rPr>
              <w:t xml:space="preserve">N п/п</w:t>
            </w:r>
          </w:p>
        </w:tc>
        <w:tc>
          <w:tcPr>
            <w:tcW w:w="1644" w:type="dxa"/>
          </w:tcPr>
          <w:p>
            <w:pPr>
              <w:pStyle w:val="0"/>
              <w:jc w:val="center"/>
            </w:pPr>
            <w:r>
              <w:rPr>
                <w:sz w:val="24"/>
              </w:rPr>
              <w:t xml:space="preserve">Наименование и марка самоходной машины и других видов техники</w:t>
            </w:r>
          </w:p>
        </w:tc>
        <w:tc>
          <w:tcPr>
            <w:tcW w:w="1474" w:type="dxa"/>
          </w:tcPr>
          <w:p>
            <w:pPr>
              <w:pStyle w:val="0"/>
              <w:jc w:val="center"/>
            </w:pPr>
            <w:r>
              <w:rPr>
                <w:sz w:val="24"/>
              </w:rPr>
              <w:t xml:space="preserve">Государственный регистрационный знак (при наличии)</w:t>
            </w:r>
          </w:p>
        </w:tc>
        <w:tc>
          <w:tcPr>
            <w:tcW w:w="963" w:type="dxa"/>
          </w:tcPr>
          <w:p>
            <w:pPr>
              <w:pStyle w:val="0"/>
              <w:jc w:val="center"/>
            </w:pPr>
            <w:r>
              <w:rPr>
                <w:sz w:val="24"/>
              </w:rPr>
              <w:t xml:space="preserve">Год выпуска</w:t>
            </w:r>
          </w:p>
        </w:tc>
        <w:tc>
          <w:tcPr>
            <w:tcW w:w="2040" w:type="dxa"/>
          </w:tcPr>
          <w:p>
            <w:pPr>
              <w:pStyle w:val="0"/>
              <w:jc w:val="center"/>
            </w:pPr>
            <w:r>
              <w:rPr>
                <w:sz w:val="24"/>
              </w:rPr>
              <w:t xml:space="preserve">Заводской номер, идентификационный номер (VIN или PIN)</w:t>
            </w:r>
          </w:p>
        </w:tc>
        <w:tc>
          <w:tcPr>
            <w:tcW w:w="1077" w:type="dxa"/>
          </w:tcPr>
          <w:p>
            <w:pPr>
              <w:pStyle w:val="0"/>
              <w:jc w:val="center"/>
            </w:pPr>
            <w:r>
              <w:rPr>
                <w:sz w:val="24"/>
              </w:rPr>
              <w:t xml:space="preserve">Номер двигателя</w:t>
            </w:r>
          </w:p>
        </w:tc>
        <w:tc>
          <w:tcPr>
            <w:tcW w:w="3118" w:type="dxa"/>
          </w:tcPr>
          <w:p>
            <w:pPr>
              <w:pStyle w:val="0"/>
              <w:jc w:val="center"/>
            </w:pPr>
            <w:r>
              <w:rPr>
                <w:sz w:val="24"/>
              </w:rPr>
              <w:t xml:space="preserve">Паспорт самоходной машины и других видов техники (серия, номер) или электронный паспорт самоходной машины и других видов техники (уникальный номер) (в случае прохождения технического осмотра до государственной регистрации)</w:t>
            </w:r>
          </w:p>
        </w:tc>
        <w:tc>
          <w:tcPr>
            <w:tcW w:w="1190" w:type="dxa"/>
          </w:tcPr>
          <w:p>
            <w:pPr>
              <w:pStyle w:val="0"/>
              <w:jc w:val="center"/>
            </w:pPr>
            <w:r>
              <w:rPr>
                <w:sz w:val="24"/>
              </w:rPr>
              <w:t xml:space="preserve">Адрес проведения осмотра</w:t>
            </w:r>
          </w:p>
        </w:tc>
        <w:tc>
          <w:tcPr>
            <w:tcW w:w="1417" w:type="dxa"/>
          </w:tcPr>
          <w:p>
            <w:pPr>
              <w:pStyle w:val="0"/>
              <w:jc w:val="center"/>
            </w:pPr>
            <w:r>
              <w:rPr>
                <w:sz w:val="24"/>
              </w:rPr>
              <w:t xml:space="preserve">Документ о прохождении технического осмотра (серия, номер)</w:t>
            </w:r>
          </w:p>
        </w:tc>
      </w:tr>
      <w:tr>
        <w:tc>
          <w:tcPr>
            <w:tcW w:w="680" w:type="dxa"/>
          </w:tcPr>
          <w:p>
            <w:pPr>
              <w:pStyle w:val="0"/>
              <w:jc w:val="center"/>
            </w:pPr>
            <w:r>
              <w:rPr>
                <w:sz w:val="24"/>
              </w:rPr>
              <w:t xml:space="preserve">1.</w:t>
            </w:r>
          </w:p>
        </w:tc>
        <w:tc>
          <w:tcPr>
            <w:tcW w:w="1644" w:type="dxa"/>
          </w:tcPr>
          <w:p>
            <w:pPr>
              <w:pStyle w:val="0"/>
            </w:pPr>
            <w:r>
              <w:rPr>
                <w:sz w:val="24"/>
              </w:rPr>
            </w:r>
          </w:p>
        </w:tc>
        <w:tc>
          <w:tcPr>
            <w:tcW w:w="1474" w:type="dxa"/>
          </w:tcPr>
          <w:p>
            <w:pPr>
              <w:pStyle w:val="0"/>
            </w:pPr>
            <w:r>
              <w:rPr>
                <w:sz w:val="24"/>
              </w:rPr>
            </w:r>
          </w:p>
        </w:tc>
        <w:tc>
          <w:tcPr>
            <w:tcW w:w="963" w:type="dxa"/>
          </w:tcPr>
          <w:p>
            <w:pPr>
              <w:pStyle w:val="0"/>
            </w:pPr>
            <w:r>
              <w:rPr>
                <w:sz w:val="24"/>
              </w:rPr>
            </w:r>
          </w:p>
        </w:tc>
        <w:tc>
          <w:tcPr>
            <w:tcW w:w="2040" w:type="dxa"/>
          </w:tcPr>
          <w:p>
            <w:pPr>
              <w:pStyle w:val="0"/>
            </w:pPr>
            <w:r>
              <w:rPr>
                <w:sz w:val="24"/>
              </w:rPr>
            </w:r>
          </w:p>
        </w:tc>
        <w:tc>
          <w:tcPr>
            <w:tcW w:w="1077" w:type="dxa"/>
          </w:tcPr>
          <w:p>
            <w:pPr>
              <w:pStyle w:val="0"/>
            </w:pPr>
            <w:r>
              <w:rPr>
                <w:sz w:val="24"/>
              </w:rPr>
            </w:r>
          </w:p>
        </w:tc>
        <w:tc>
          <w:tcPr>
            <w:tcW w:w="3118" w:type="dxa"/>
          </w:tcPr>
          <w:p>
            <w:pPr>
              <w:pStyle w:val="0"/>
            </w:pPr>
            <w:r>
              <w:rPr>
                <w:sz w:val="24"/>
              </w:rPr>
            </w:r>
          </w:p>
        </w:tc>
        <w:tc>
          <w:tcPr>
            <w:tcW w:w="1190" w:type="dxa"/>
          </w:tcPr>
          <w:p>
            <w:pPr>
              <w:pStyle w:val="0"/>
            </w:pPr>
            <w:r>
              <w:rPr>
                <w:sz w:val="24"/>
              </w:rPr>
            </w:r>
          </w:p>
        </w:tc>
        <w:tc>
          <w:tcPr>
            <w:tcW w:w="1417" w:type="dxa"/>
          </w:tcPr>
          <w:p>
            <w:pPr>
              <w:pStyle w:val="0"/>
            </w:pPr>
            <w:r>
              <w:rPr>
                <w:sz w:val="24"/>
              </w:rPr>
            </w:r>
          </w:p>
        </w:tc>
      </w:tr>
      <w:tr>
        <w:tc>
          <w:tcPr>
            <w:tcW w:w="680" w:type="dxa"/>
          </w:tcPr>
          <w:p>
            <w:pPr>
              <w:pStyle w:val="0"/>
              <w:jc w:val="center"/>
            </w:pPr>
            <w:r>
              <w:rPr>
                <w:sz w:val="24"/>
              </w:rPr>
              <w:t xml:space="preserve">2.</w:t>
            </w:r>
          </w:p>
        </w:tc>
        <w:tc>
          <w:tcPr>
            <w:tcW w:w="1644" w:type="dxa"/>
          </w:tcPr>
          <w:p>
            <w:pPr>
              <w:pStyle w:val="0"/>
            </w:pPr>
            <w:r>
              <w:rPr>
                <w:sz w:val="24"/>
              </w:rPr>
            </w:r>
          </w:p>
        </w:tc>
        <w:tc>
          <w:tcPr>
            <w:tcW w:w="1474" w:type="dxa"/>
          </w:tcPr>
          <w:p>
            <w:pPr>
              <w:pStyle w:val="0"/>
            </w:pPr>
            <w:r>
              <w:rPr>
                <w:sz w:val="24"/>
              </w:rPr>
            </w:r>
          </w:p>
        </w:tc>
        <w:tc>
          <w:tcPr>
            <w:tcW w:w="963" w:type="dxa"/>
          </w:tcPr>
          <w:p>
            <w:pPr>
              <w:pStyle w:val="0"/>
            </w:pPr>
            <w:r>
              <w:rPr>
                <w:sz w:val="24"/>
              </w:rPr>
            </w:r>
          </w:p>
        </w:tc>
        <w:tc>
          <w:tcPr>
            <w:tcW w:w="2040" w:type="dxa"/>
          </w:tcPr>
          <w:p>
            <w:pPr>
              <w:pStyle w:val="0"/>
            </w:pPr>
            <w:r>
              <w:rPr>
                <w:sz w:val="24"/>
              </w:rPr>
            </w:r>
          </w:p>
        </w:tc>
        <w:tc>
          <w:tcPr>
            <w:tcW w:w="1077" w:type="dxa"/>
          </w:tcPr>
          <w:p>
            <w:pPr>
              <w:pStyle w:val="0"/>
            </w:pPr>
            <w:r>
              <w:rPr>
                <w:sz w:val="24"/>
              </w:rPr>
            </w:r>
          </w:p>
        </w:tc>
        <w:tc>
          <w:tcPr>
            <w:tcW w:w="3118" w:type="dxa"/>
          </w:tcPr>
          <w:p>
            <w:pPr>
              <w:pStyle w:val="0"/>
            </w:pPr>
            <w:r>
              <w:rPr>
                <w:sz w:val="24"/>
              </w:rPr>
            </w:r>
          </w:p>
        </w:tc>
        <w:tc>
          <w:tcPr>
            <w:tcW w:w="1190" w:type="dxa"/>
          </w:tcPr>
          <w:p>
            <w:pPr>
              <w:pStyle w:val="0"/>
            </w:pPr>
            <w:r>
              <w:rPr>
                <w:sz w:val="24"/>
              </w:rPr>
            </w:r>
          </w:p>
        </w:tc>
        <w:tc>
          <w:tcPr>
            <w:tcW w:w="1417" w:type="dxa"/>
          </w:tcPr>
          <w:p>
            <w:pPr>
              <w:pStyle w:val="0"/>
            </w:pPr>
            <w:r>
              <w:rPr>
                <w:sz w:val="24"/>
              </w:rPr>
            </w:r>
          </w:p>
        </w:tc>
      </w:tr>
      <w:tr>
        <w:tc>
          <w:tcPr>
            <w:tcW w:w="680" w:type="dxa"/>
          </w:tcPr>
          <w:p>
            <w:pPr>
              <w:pStyle w:val="0"/>
              <w:jc w:val="center"/>
            </w:pPr>
            <w:r>
              <w:rPr>
                <w:sz w:val="24"/>
              </w:rPr>
              <w:t xml:space="preserve">3.</w:t>
            </w:r>
          </w:p>
        </w:tc>
        <w:tc>
          <w:tcPr>
            <w:tcW w:w="1644" w:type="dxa"/>
          </w:tcPr>
          <w:p>
            <w:pPr>
              <w:pStyle w:val="0"/>
            </w:pPr>
            <w:r>
              <w:rPr>
                <w:sz w:val="24"/>
              </w:rPr>
            </w:r>
          </w:p>
        </w:tc>
        <w:tc>
          <w:tcPr>
            <w:tcW w:w="1474" w:type="dxa"/>
          </w:tcPr>
          <w:p>
            <w:pPr>
              <w:pStyle w:val="0"/>
            </w:pPr>
            <w:r>
              <w:rPr>
                <w:sz w:val="24"/>
              </w:rPr>
            </w:r>
          </w:p>
        </w:tc>
        <w:tc>
          <w:tcPr>
            <w:tcW w:w="963" w:type="dxa"/>
          </w:tcPr>
          <w:p>
            <w:pPr>
              <w:pStyle w:val="0"/>
            </w:pPr>
            <w:r>
              <w:rPr>
                <w:sz w:val="24"/>
              </w:rPr>
            </w:r>
          </w:p>
        </w:tc>
        <w:tc>
          <w:tcPr>
            <w:tcW w:w="2040" w:type="dxa"/>
          </w:tcPr>
          <w:p>
            <w:pPr>
              <w:pStyle w:val="0"/>
            </w:pPr>
            <w:r>
              <w:rPr>
                <w:sz w:val="24"/>
              </w:rPr>
            </w:r>
          </w:p>
        </w:tc>
        <w:tc>
          <w:tcPr>
            <w:tcW w:w="1077" w:type="dxa"/>
          </w:tcPr>
          <w:p>
            <w:pPr>
              <w:pStyle w:val="0"/>
            </w:pPr>
            <w:r>
              <w:rPr>
                <w:sz w:val="24"/>
              </w:rPr>
            </w:r>
          </w:p>
        </w:tc>
        <w:tc>
          <w:tcPr>
            <w:tcW w:w="3118" w:type="dxa"/>
          </w:tcPr>
          <w:p>
            <w:pPr>
              <w:pStyle w:val="0"/>
            </w:pPr>
            <w:r>
              <w:rPr>
                <w:sz w:val="24"/>
              </w:rPr>
            </w:r>
          </w:p>
        </w:tc>
        <w:tc>
          <w:tcPr>
            <w:tcW w:w="1190" w:type="dxa"/>
          </w:tcPr>
          <w:p>
            <w:pPr>
              <w:pStyle w:val="0"/>
            </w:pPr>
            <w:r>
              <w:rPr>
                <w:sz w:val="24"/>
              </w:rPr>
            </w:r>
          </w:p>
        </w:tc>
        <w:tc>
          <w:tcPr>
            <w:tcW w:w="1417" w:type="dxa"/>
          </w:tcPr>
          <w:p>
            <w:pPr>
              <w:pStyle w:val="0"/>
            </w:pPr>
            <w:r>
              <w:rPr>
                <w:sz w:val="24"/>
              </w:rPr>
            </w:r>
          </w:p>
        </w:tc>
      </w:tr>
      <w:tr>
        <w:tc>
          <w:tcPr>
            <w:tcW w:w="680" w:type="dxa"/>
          </w:tcPr>
          <w:p>
            <w:pPr>
              <w:pStyle w:val="0"/>
              <w:jc w:val="center"/>
            </w:pPr>
            <w:r>
              <w:rPr>
                <w:sz w:val="24"/>
              </w:rPr>
              <w:t xml:space="preserve">4.</w:t>
            </w:r>
          </w:p>
        </w:tc>
        <w:tc>
          <w:tcPr>
            <w:tcW w:w="1644" w:type="dxa"/>
          </w:tcPr>
          <w:p>
            <w:pPr>
              <w:pStyle w:val="0"/>
            </w:pPr>
            <w:r>
              <w:rPr>
                <w:sz w:val="24"/>
              </w:rPr>
            </w:r>
          </w:p>
        </w:tc>
        <w:tc>
          <w:tcPr>
            <w:tcW w:w="1474" w:type="dxa"/>
          </w:tcPr>
          <w:p>
            <w:pPr>
              <w:pStyle w:val="0"/>
            </w:pPr>
            <w:r>
              <w:rPr>
                <w:sz w:val="24"/>
              </w:rPr>
            </w:r>
          </w:p>
        </w:tc>
        <w:tc>
          <w:tcPr>
            <w:tcW w:w="963" w:type="dxa"/>
          </w:tcPr>
          <w:p>
            <w:pPr>
              <w:pStyle w:val="0"/>
            </w:pPr>
            <w:r>
              <w:rPr>
                <w:sz w:val="24"/>
              </w:rPr>
            </w:r>
          </w:p>
        </w:tc>
        <w:tc>
          <w:tcPr>
            <w:tcW w:w="2040" w:type="dxa"/>
          </w:tcPr>
          <w:p>
            <w:pPr>
              <w:pStyle w:val="0"/>
            </w:pPr>
            <w:r>
              <w:rPr>
                <w:sz w:val="24"/>
              </w:rPr>
            </w:r>
          </w:p>
        </w:tc>
        <w:tc>
          <w:tcPr>
            <w:tcW w:w="1077" w:type="dxa"/>
          </w:tcPr>
          <w:p>
            <w:pPr>
              <w:pStyle w:val="0"/>
            </w:pPr>
            <w:r>
              <w:rPr>
                <w:sz w:val="24"/>
              </w:rPr>
            </w:r>
          </w:p>
        </w:tc>
        <w:tc>
          <w:tcPr>
            <w:tcW w:w="3118" w:type="dxa"/>
          </w:tcPr>
          <w:p>
            <w:pPr>
              <w:pStyle w:val="0"/>
            </w:pPr>
            <w:r>
              <w:rPr>
                <w:sz w:val="24"/>
              </w:rPr>
            </w:r>
          </w:p>
        </w:tc>
        <w:tc>
          <w:tcPr>
            <w:tcW w:w="1190" w:type="dxa"/>
          </w:tcPr>
          <w:p>
            <w:pPr>
              <w:pStyle w:val="0"/>
            </w:pPr>
            <w:r>
              <w:rPr>
                <w:sz w:val="24"/>
              </w:rPr>
            </w:r>
          </w:p>
        </w:tc>
        <w:tc>
          <w:tcPr>
            <w:tcW w:w="1417" w:type="dxa"/>
          </w:tcPr>
          <w:p>
            <w:pPr>
              <w:pStyle w:val="0"/>
            </w:pPr>
            <w:r>
              <w:rPr>
                <w:sz w:val="24"/>
              </w:rPr>
            </w:r>
          </w:p>
        </w:tc>
      </w:tr>
      <w:tr>
        <w:tc>
          <w:tcPr>
            <w:tcW w:w="680" w:type="dxa"/>
          </w:tcPr>
          <w:p>
            <w:pPr>
              <w:pStyle w:val="0"/>
              <w:jc w:val="center"/>
            </w:pPr>
            <w:r>
              <w:rPr>
                <w:sz w:val="24"/>
              </w:rPr>
              <w:t xml:space="preserve">...</w:t>
            </w:r>
          </w:p>
        </w:tc>
        <w:tc>
          <w:tcPr>
            <w:tcW w:w="1644" w:type="dxa"/>
          </w:tcPr>
          <w:p>
            <w:pPr>
              <w:pStyle w:val="0"/>
            </w:pPr>
            <w:r>
              <w:rPr>
                <w:sz w:val="24"/>
              </w:rPr>
            </w:r>
          </w:p>
        </w:tc>
        <w:tc>
          <w:tcPr>
            <w:tcW w:w="1474" w:type="dxa"/>
          </w:tcPr>
          <w:p>
            <w:pPr>
              <w:pStyle w:val="0"/>
            </w:pPr>
            <w:r>
              <w:rPr>
                <w:sz w:val="24"/>
              </w:rPr>
            </w:r>
          </w:p>
        </w:tc>
        <w:tc>
          <w:tcPr>
            <w:tcW w:w="963" w:type="dxa"/>
          </w:tcPr>
          <w:p>
            <w:pPr>
              <w:pStyle w:val="0"/>
            </w:pPr>
            <w:r>
              <w:rPr>
                <w:sz w:val="24"/>
              </w:rPr>
            </w:r>
          </w:p>
        </w:tc>
        <w:tc>
          <w:tcPr>
            <w:tcW w:w="2040" w:type="dxa"/>
          </w:tcPr>
          <w:p>
            <w:pPr>
              <w:pStyle w:val="0"/>
            </w:pPr>
            <w:r>
              <w:rPr>
                <w:sz w:val="24"/>
              </w:rPr>
            </w:r>
          </w:p>
        </w:tc>
        <w:tc>
          <w:tcPr>
            <w:tcW w:w="1077" w:type="dxa"/>
          </w:tcPr>
          <w:p>
            <w:pPr>
              <w:pStyle w:val="0"/>
            </w:pPr>
            <w:r>
              <w:rPr>
                <w:sz w:val="24"/>
              </w:rPr>
            </w:r>
          </w:p>
        </w:tc>
        <w:tc>
          <w:tcPr>
            <w:tcW w:w="3118" w:type="dxa"/>
          </w:tcPr>
          <w:p>
            <w:pPr>
              <w:pStyle w:val="0"/>
            </w:pPr>
            <w:r>
              <w:rPr>
                <w:sz w:val="24"/>
              </w:rPr>
            </w:r>
          </w:p>
        </w:tc>
        <w:tc>
          <w:tcPr>
            <w:tcW w:w="1190" w:type="dxa"/>
          </w:tcPr>
          <w:p>
            <w:pPr>
              <w:pStyle w:val="0"/>
            </w:pPr>
            <w:r>
              <w:rPr>
                <w:sz w:val="24"/>
              </w:rPr>
            </w:r>
          </w:p>
        </w:tc>
        <w:tc>
          <w:tcPr>
            <w:tcW w:w="1417" w:type="dxa"/>
          </w:tcPr>
          <w:p>
            <w:pPr>
              <w:pStyle w:val="0"/>
            </w:pPr>
            <w:r>
              <w:rPr>
                <w:sz w:val="24"/>
              </w:rPr>
            </w:r>
          </w:p>
        </w:tc>
      </w:tr>
    </w:tbl>
    <w:p>
      <w:pPr>
        <w:sectPr>
          <w:headerReference w:type="default" r:id="rId83"/>
          <w:headerReference w:type="first" r:id="rId83"/>
          <w:footerReference w:type="default" r:id="rId84"/>
          <w:footerReference w:type="first" r:id="rId84"/>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проведения</w:t>
      </w:r>
    </w:p>
    <w:p>
      <w:pPr>
        <w:pStyle w:val="0"/>
        <w:jc w:val="right"/>
      </w:pPr>
      <w:r>
        <w:rPr>
          <w:sz w:val="24"/>
        </w:rPr>
        <w:t xml:space="preserve">технического осмотра самоходных</w:t>
      </w:r>
    </w:p>
    <w:p>
      <w:pPr>
        <w:pStyle w:val="0"/>
        <w:jc w:val="right"/>
      </w:pPr>
      <w:r>
        <w:rPr>
          <w:sz w:val="24"/>
        </w:rPr>
        <w:t xml:space="preserve">машин и других видов техники</w:t>
      </w:r>
    </w:p>
    <w:p>
      <w:pPr>
        <w:pStyle w:val="0"/>
        <w:jc w:val="center"/>
      </w:pPr>
      <w:r>
        <w:rPr>
          <w:sz w:val="24"/>
        </w:rPr>
      </w:r>
    </w:p>
    <w:p>
      <w:pPr>
        <w:pStyle w:val="0"/>
        <w:jc w:val="center"/>
      </w:pPr>
      <w:r>
        <w:rPr>
          <w:sz w:val="24"/>
        </w:rPr>
        <w:t xml:space="preserve">ЗАЯВЛЕНИЕ</w:t>
      </w:r>
    </w:p>
    <w:p>
      <w:pPr>
        <w:pStyle w:val="0"/>
        <w:jc w:val="center"/>
      </w:pPr>
      <w:r>
        <w:rPr>
          <w:sz w:val="24"/>
        </w:rPr>
        <w:t xml:space="preserve">на технический осмотр самоходной машины</w:t>
      </w:r>
    </w:p>
    <w:p>
      <w:pPr>
        <w:pStyle w:val="0"/>
        <w:jc w:val="center"/>
      </w:pPr>
      <w:r>
        <w:rPr>
          <w:sz w:val="24"/>
        </w:rPr>
        <w:t xml:space="preserve">и других видов техники</w:t>
      </w:r>
    </w:p>
    <w:p>
      <w:pPr>
        <w:pStyle w:val="0"/>
        <w:jc w:val="both"/>
      </w:pPr>
      <w:r>
        <w:rPr>
          <w:sz w:val="24"/>
        </w:rPr>
      </w:r>
    </w:p>
    <w:p>
      <w:pPr>
        <w:pStyle w:val="0"/>
        <w:ind w:firstLine="540"/>
        <w:jc w:val="both"/>
      </w:pPr>
      <w:r>
        <w:rPr>
          <w:sz w:val="24"/>
        </w:rPr>
        <w:t xml:space="preserve">Утратило силу с 1 сентября 2024 года. - </w:t>
      </w:r>
      <w:hyperlink w:history="0" r:id="rId85"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17.07.2024 N 969.</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13 ноября 2013 г. N 1013</w:t>
      </w:r>
    </w:p>
    <w:p>
      <w:pPr>
        <w:pStyle w:val="0"/>
        <w:jc w:val="center"/>
      </w:pPr>
      <w:r>
        <w:rPr>
          <w:sz w:val="24"/>
        </w:rPr>
      </w:r>
    </w:p>
    <w:bookmarkStart w:id="495" w:name="P495"/>
    <w:bookmarkEnd w:id="495"/>
    <w:p>
      <w:pPr>
        <w:pStyle w:val="2"/>
        <w:jc w:val="center"/>
      </w:pPr>
      <w:r>
        <w:rPr>
          <w:sz w:val="24"/>
        </w:rPr>
        <w:t xml:space="preserve">ИЗМЕНЕНИЯ,</w:t>
      </w:r>
    </w:p>
    <w:p>
      <w:pPr>
        <w:pStyle w:val="2"/>
        <w:jc w:val="center"/>
      </w:pPr>
      <w:r>
        <w:rPr>
          <w:sz w:val="24"/>
        </w:rPr>
        <w:t xml:space="preserve">КОТОРЫЕ ВНОСЯТСЯ В АКТЫ 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6" w:tooltip="Постановление Правительства РФ от 26.10.2020 N 1742 (ред. от 26.02.2022) &quot;О признании утратившими силу актов и отдельных положений актов Правительства Российской Федерации, об отмене некоторых актов и отдельных положений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дарственного контроля (надзора) в области трансп {КонсультантПлюс}">
              <w:r>
                <w:rPr>
                  <w:sz w:val="24"/>
                  <w:color w:val="0000ff"/>
                </w:rPr>
                <w:t xml:space="preserve">Постановления</w:t>
              </w:r>
            </w:hyperlink>
            <w:r>
              <w:rPr>
                <w:sz w:val="24"/>
                <w:color w:val="392c69"/>
              </w:rPr>
              <w:t xml:space="preserve"> Правительства РФ от 26.10.2020 N 1742)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Утратил силу. - </w:t>
      </w:r>
      <w:hyperlink w:history="0" r:id="rId87" w:tooltip="Постановление Правительства РФ от 26.10.2020 N 1742 (ред. от 26.02.2022) &quot;О признании утратившими силу актов и отдельных положений актов Правительства Российской Федерации, об отмене некоторых актов и отдельных положений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дарственного контроля (надзора) в области трансп {КонсультантПлюс}">
        <w:r>
          <w:rPr>
            <w:sz w:val="24"/>
            <w:color w:val="0000ff"/>
          </w:rPr>
          <w:t xml:space="preserve">Постановление</w:t>
        </w:r>
      </w:hyperlink>
      <w:r>
        <w:rPr>
          <w:sz w:val="24"/>
        </w:rPr>
        <w:t xml:space="preserve"> Правительства РФ от 26.10.2020 N 1742.</w:t>
      </w:r>
    </w:p>
    <w:p>
      <w:pPr>
        <w:pStyle w:val="0"/>
        <w:spacing w:before="240" w:line-rule="auto"/>
        <w:ind w:firstLine="540"/>
        <w:jc w:val="both"/>
      </w:pPr>
      <w:r>
        <w:rPr>
          <w:sz w:val="24"/>
        </w:rPr>
        <w:t xml:space="preserve">2. </w:t>
      </w:r>
      <w:hyperlink w:history="0" r:id="rId88" w:tooltip="Постановление Правительства РФ от 17.04.2013 N 348 &quot;О техническом осмотре транспортных средств органов, осуществляющих оперативно-разыскную деятельность&quot; (вместе с &quot;Правилами проведения технического осмотра имеющих особенности конструкции и (или) специально оборудованных для решения задач оперативно-разыскной деятельности транспортных средств органов, осуществляющих оперативно-разыскную деятельность&quot;) ------------ Недействующая редакция {КонсультантПлюс}">
        <w:r>
          <w:rPr>
            <w:sz w:val="24"/>
            <w:color w:val="0000ff"/>
          </w:rPr>
          <w:t xml:space="preserve">Пункт 5</w:t>
        </w:r>
      </w:hyperlink>
      <w:r>
        <w:rPr>
          <w:sz w:val="24"/>
        </w:rPr>
        <w:t xml:space="preserve"> постановления Правительства Российской Федерации от 17 апреля 2013 г. N 348 "О техническом осмотре транспортных средств органов, осуществляющих оперативно-разыскную деятельность" (Собрание законодательства Российской Федерации, 2013, N 16, ст. 1975) исключить.</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13.11.2013 N 1013</w:t>
            <w:br/>
            <w:t>(ред. от 17.07.2024)</w:t>
            <w:br/>
            <w:t>"О техническом осмотре самоходных машин и други...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13.11.2013 N 1013</w:t>
            <w:br/>
            <w:t>(ред. от 17.07.2024)</w:t>
            <w:br/>
            <w:t>"О техническом осмотре самоходных машин и други...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363350&amp;date=05.08.2025&amp;dst=100014&amp;field=134" TargetMode = "External"/>
	<Relationship Id="rId8" Type="http://schemas.openxmlformats.org/officeDocument/2006/relationships/hyperlink" Target="https://login.consultant.ru/link/?req=doc&amp;base=LAW&amp;n=481156&amp;date=05.08.2025&amp;dst=100005&amp;field=134" TargetMode = "External"/>
	<Relationship Id="rId9" Type="http://schemas.openxmlformats.org/officeDocument/2006/relationships/hyperlink" Target="https://login.consultant.ru/link/?req=doc&amp;base=LAW&amp;n=410483&amp;date=05.08.2025&amp;dst=100254&amp;field=134" TargetMode = "External"/>
	<Relationship Id="rId10" Type="http://schemas.openxmlformats.org/officeDocument/2006/relationships/hyperlink" Target="https://login.consultant.ru/link/?req=doc&amp;base=LAW&amp;n=481078&amp;date=05.08.2025&amp;dst=100029&amp;field=134" TargetMode = "External"/>
	<Relationship Id="rId11" Type="http://schemas.openxmlformats.org/officeDocument/2006/relationships/hyperlink" Target="https://login.consultant.ru/link/?req=doc&amp;base=LAW&amp;n=473190&amp;date=05.08.2025&amp;dst=100030&amp;field=134" TargetMode = "External"/>
	<Relationship Id="rId12" Type="http://schemas.openxmlformats.org/officeDocument/2006/relationships/hyperlink" Target="https://login.consultant.ru/link/?req=doc&amp;base=LAW&amp;n=481156&amp;date=05.08.2025&amp;dst=100009&amp;field=134" TargetMode = "External"/>
	<Relationship Id="rId13" Type="http://schemas.openxmlformats.org/officeDocument/2006/relationships/hyperlink" Target="https://login.consultant.ru/link/?req=doc&amp;base=LAW&amp;n=481156&amp;date=05.08.2025&amp;dst=100010&amp;field=134" TargetMode = "External"/>
	<Relationship Id="rId14" Type="http://schemas.openxmlformats.org/officeDocument/2006/relationships/hyperlink" Target="https://login.consultant.ru/link/?req=doc&amp;base=LAW&amp;n=27803&amp;date=05.08.2025" TargetMode = "External"/>
	<Relationship Id="rId15" Type="http://schemas.openxmlformats.org/officeDocument/2006/relationships/hyperlink" Target="https://login.consultant.ru/link/?req=doc&amp;base=LAW&amp;n=123086&amp;date=05.08.2025&amp;dst=100030&amp;field=134" TargetMode = "External"/>
	<Relationship Id="rId16" Type="http://schemas.openxmlformats.org/officeDocument/2006/relationships/hyperlink" Target="https://login.consultant.ru/link/?req=doc&amp;base=LAW&amp;n=363350&amp;date=05.08.2025&amp;dst=100014&amp;field=134" TargetMode = "External"/>
	<Relationship Id="rId17" Type="http://schemas.openxmlformats.org/officeDocument/2006/relationships/hyperlink" Target="https://login.consultant.ru/link/?req=doc&amp;base=LAW&amp;n=481156&amp;date=05.08.2025&amp;dst=100011&amp;field=134" TargetMode = "External"/>
	<Relationship Id="rId18" Type="http://schemas.openxmlformats.org/officeDocument/2006/relationships/hyperlink" Target="https://login.consultant.ru/link/?req=doc&amp;base=LAW&amp;n=481078&amp;date=05.08.2025&amp;dst=100029&amp;field=134" TargetMode = "External"/>
	<Relationship Id="rId19" Type="http://schemas.openxmlformats.org/officeDocument/2006/relationships/hyperlink" Target="https://login.consultant.ru/link/?req=doc&amp;base=LAW&amp;n=481078&amp;date=05.08.2025&amp;dst=100030&amp;field=134" TargetMode = "External"/>
	<Relationship Id="rId20" Type="http://schemas.openxmlformats.org/officeDocument/2006/relationships/hyperlink" Target="https://login.consultant.ru/link/?req=doc&amp;base=LAW&amp;n=481156&amp;date=05.08.2025&amp;dst=100013&amp;field=134" TargetMode = "External"/>
	<Relationship Id="rId21" Type="http://schemas.openxmlformats.org/officeDocument/2006/relationships/hyperlink" Target="https://login.consultant.ru/link/?req=doc&amp;base=LAW&amp;n=481156&amp;date=05.08.2025&amp;dst=100016&amp;field=134" TargetMode = "External"/>
	<Relationship Id="rId22" Type="http://schemas.openxmlformats.org/officeDocument/2006/relationships/hyperlink" Target="https://login.consultant.ru/link/?req=doc&amp;base=LAW&amp;n=481156&amp;date=05.08.2025&amp;dst=100018&amp;field=134" TargetMode = "External"/>
	<Relationship Id="rId23" Type="http://schemas.openxmlformats.org/officeDocument/2006/relationships/hyperlink" Target="https://login.consultant.ru/link/?req=doc&amp;base=LAW&amp;n=481156&amp;date=05.08.2025&amp;dst=100019&amp;field=134" TargetMode = "External"/>
	<Relationship Id="rId24" Type="http://schemas.openxmlformats.org/officeDocument/2006/relationships/hyperlink" Target="https://login.consultant.ru/link/?req=doc&amp;base=LAW&amp;n=481156&amp;date=05.08.2025&amp;dst=100022&amp;field=134" TargetMode = "External"/>
	<Relationship Id="rId25" Type="http://schemas.openxmlformats.org/officeDocument/2006/relationships/hyperlink" Target="https://login.consultant.ru/link/?req=doc&amp;base=LAW&amp;n=481078&amp;date=05.08.2025&amp;dst=100033&amp;field=134" TargetMode = "External"/>
	<Relationship Id="rId26" Type="http://schemas.openxmlformats.org/officeDocument/2006/relationships/hyperlink" Target="https://login.consultant.ru/link/?req=doc&amp;base=LAW&amp;n=481156&amp;date=05.08.2025&amp;dst=100024&amp;field=134" TargetMode = "External"/>
	<Relationship Id="rId27" Type="http://schemas.openxmlformats.org/officeDocument/2006/relationships/hyperlink" Target="https://login.consultant.ru/link/?req=doc&amp;base=LAW&amp;n=481078&amp;date=05.08.2025&amp;dst=100035&amp;field=134" TargetMode = "External"/>
	<Relationship Id="rId28" Type="http://schemas.openxmlformats.org/officeDocument/2006/relationships/hyperlink" Target="https://login.consultant.ru/link/?req=doc&amp;base=LAW&amp;n=481078&amp;date=05.08.2025&amp;dst=100036&amp;field=134" TargetMode = "External"/>
	<Relationship Id="rId29" Type="http://schemas.openxmlformats.org/officeDocument/2006/relationships/hyperlink" Target="https://login.consultant.ru/link/?req=doc&amp;base=LAW&amp;n=481156&amp;date=05.08.2025&amp;dst=100027&amp;field=134" TargetMode = "External"/>
	<Relationship Id="rId30" Type="http://schemas.openxmlformats.org/officeDocument/2006/relationships/hyperlink" Target="https://login.consultant.ru/link/?req=doc&amp;base=LAW&amp;n=167714&amp;date=05.08.2025" TargetMode = "External"/>
	<Relationship Id="rId31" Type="http://schemas.openxmlformats.org/officeDocument/2006/relationships/hyperlink" Target="https://login.consultant.ru/link/?req=doc&amp;base=LAW&amp;n=481156&amp;date=05.08.2025&amp;dst=100029&amp;field=134" TargetMode = "External"/>
	<Relationship Id="rId32" Type="http://schemas.openxmlformats.org/officeDocument/2006/relationships/hyperlink" Target="https://login.consultant.ru/link/?req=doc&amp;base=LAW&amp;n=481078&amp;date=05.08.2025&amp;dst=100042&amp;field=134" TargetMode = "External"/>
	<Relationship Id="rId33" Type="http://schemas.openxmlformats.org/officeDocument/2006/relationships/hyperlink" Target="https://login.consultant.ru/link/?req=doc&amp;base=LAW&amp;n=481078&amp;date=05.08.2025&amp;dst=100043&amp;field=134" TargetMode = "External"/>
	<Relationship Id="rId34" Type="http://schemas.openxmlformats.org/officeDocument/2006/relationships/hyperlink" Target="https://login.consultant.ru/link/?req=doc&amp;base=LAW&amp;n=213195&amp;date=05.08.2025&amp;dst=100014&amp;field=134" TargetMode = "External"/>
	<Relationship Id="rId35" Type="http://schemas.openxmlformats.org/officeDocument/2006/relationships/hyperlink" Target="https://login.consultant.ru/link/?req=doc&amp;base=LAW&amp;n=363350&amp;date=05.08.2025&amp;dst=100014&amp;field=134" TargetMode = "External"/>
	<Relationship Id="rId36" Type="http://schemas.openxmlformats.org/officeDocument/2006/relationships/hyperlink" Target="https://login.consultant.ru/link/?req=doc&amp;base=LAW&amp;n=213195&amp;date=05.08.2025&amp;dst=100064&amp;field=134" TargetMode = "External"/>
	<Relationship Id="rId37" Type="http://schemas.openxmlformats.org/officeDocument/2006/relationships/hyperlink" Target="https://login.consultant.ru/link/?req=doc&amp;base=LAW&amp;n=213195&amp;date=05.08.2025&amp;dst=100091&amp;field=134" TargetMode = "External"/>
	<Relationship Id="rId38" Type="http://schemas.openxmlformats.org/officeDocument/2006/relationships/hyperlink" Target="https://login.consultant.ru/link/?req=doc&amp;base=LAW&amp;n=481078&amp;date=05.08.2025&amp;dst=100046&amp;field=134" TargetMode = "External"/>
	<Relationship Id="rId39" Type="http://schemas.openxmlformats.org/officeDocument/2006/relationships/hyperlink" Target="https://login.consultant.ru/link/?req=doc&amp;base=LAW&amp;n=488233&amp;date=05.08.2025&amp;dst=100016&amp;field=134" TargetMode = "External"/>
	<Relationship Id="rId40" Type="http://schemas.openxmlformats.org/officeDocument/2006/relationships/hyperlink" Target="https://login.consultant.ru/link/?req=doc&amp;base=LAW&amp;n=481078&amp;date=05.08.2025&amp;dst=100059&amp;field=134" TargetMode = "External"/>
	<Relationship Id="rId41" Type="http://schemas.openxmlformats.org/officeDocument/2006/relationships/hyperlink" Target="https://login.consultant.ru/link/?req=doc&amp;base=LAW&amp;n=481156&amp;date=05.08.2025&amp;dst=100032&amp;field=134" TargetMode = "External"/>
	<Relationship Id="rId42" Type="http://schemas.openxmlformats.org/officeDocument/2006/relationships/hyperlink" Target="https://login.consultant.ru/link/?req=doc&amp;base=LAW&amp;n=481156&amp;date=05.08.2025&amp;dst=100031&amp;field=134" TargetMode = "External"/>
	<Relationship Id="rId43" Type="http://schemas.openxmlformats.org/officeDocument/2006/relationships/hyperlink" Target="https://login.consultant.ru/link/?req=doc&amp;base=OTN&amp;n=7531&amp;date=05.08.2025&amp;dst=100099&amp;field=134" TargetMode = "External"/>
	<Relationship Id="rId44" Type="http://schemas.openxmlformats.org/officeDocument/2006/relationships/hyperlink" Target="https://login.consultant.ru/link/?req=doc&amp;base=OTN&amp;n=22468&amp;date=05.08.2025&amp;dst=100156&amp;field=134" TargetMode = "External"/>
	<Relationship Id="rId45" Type="http://schemas.openxmlformats.org/officeDocument/2006/relationships/hyperlink" Target="https://login.consultant.ru/link/?req=doc&amp;base=OTN&amp;n=22468&amp;date=05.08.2025&amp;dst=100174&amp;field=134" TargetMode = "External"/>
	<Relationship Id="rId46" Type="http://schemas.openxmlformats.org/officeDocument/2006/relationships/hyperlink" Target="https://login.consultant.ru/link/?req=doc&amp;base=OTN&amp;n=3043&amp;date=05.08.2025&amp;dst=100070&amp;field=134" TargetMode = "External"/>
	<Relationship Id="rId47" Type="http://schemas.openxmlformats.org/officeDocument/2006/relationships/hyperlink" Target="https://login.consultant.ru/link/?req=doc&amp;base=OTN&amp;n=3043&amp;date=05.08.2025&amp;dst=100079&amp;field=134" TargetMode = "External"/>
	<Relationship Id="rId48" Type="http://schemas.openxmlformats.org/officeDocument/2006/relationships/hyperlink" Target="https://login.consultant.ru/link/?req=doc&amp;base=OTN&amp;n=18161&amp;date=05.08.2025&amp;dst=100165&amp;field=134" TargetMode = "External"/>
	<Relationship Id="rId49" Type="http://schemas.openxmlformats.org/officeDocument/2006/relationships/hyperlink" Target="https://login.consultant.ru/link/?req=doc&amp;base=OTN&amp;n=18161&amp;date=05.08.2025&amp;dst=100169&amp;field=134" TargetMode = "External"/>
	<Relationship Id="rId50" Type="http://schemas.openxmlformats.org/officeDocument/2006/relationships/hyperlink" Target="https://login.consultant.ru/link/?req=doc&amp;base=OTN&amp;n=18066&amp;date=05.08.2025&amp;dst=100077&amp;field=134" TargetMode = "External"/>
	<Relationship Id="rId51" Type="http://schemas.openxmlformats.org/officeDocument/2006/relationships/hyperlink" Target="https://login.consultant.ru/link/?req=doc&amp;base=OTN&amp;n=17878&amp;date=05.08.2025&amp;dst=100106&amp;field=134" TargetMode = "External"/>
	<Relationship Id="rId52" Type="http://schemas.openxmlformats.org/officeDocument/2006/relationships/hyperlink" Target="https://login.consultant.ru/link/?req=doc&amp;base=OTN&amp;n=5982&amp;date=05.08.2025&amp;dst=100092&amp;field=134" TargetMode = "External"/>
	<Relationship Id="rId53" Type="http://schemas.openxmlformats.org/officeDocument/2006/relationships/hyperlink" Target="https://login.consultant.ru/link/?req=doc&amp;base=OTN&amp;n=6036&amp;date=05.08.2025&amp;dst=100090&amp;field=134" TargetMode = "External"/>
	<Relationship Id="rId54" Type="http://schemas.openxmlformats.org/officeDocument/2006/relationships/hyperlink" Target="https://login.consultant.ru/link/?req=doc&amp;base=OTN&amp;n=6036&amp;date=05.08.2025&amp;dst=100094&amp;field=134" TargetMode = "External"/>
	<Relationship Id="rId55" Type="http://schemas.openxmlformats.org/officeDocument/2006/relationships/hyperlink" Target="https://login.consultant.ru/link/?req=doc&amp;base=OTN&amp;n=3860&amp;date=05.08.2025&amp;dst=100031&amp;field=134" TargetMode = "External"/>
	<Relationship Id="rId56" Type="http://schemas.openxmlformats.org/officeDocument/2006/relationships/hyperlink" Target="https://login.consultant.ru/link/?req=doc&amp;base=LAW&amp;n=481156&amp;date=05.08.2025&amp;dst=100034&amp;field=134" TargetMode = "External"/>
	<Relationship Id="rId57" Type="http://schemas.openxmlformats.org/officeDocument/2006/relationships/hyperlink" Target="https://login.consultant.ru/link/?req=doc&amp;base=OTN&amp;n=7531&amp;date=05.08.2025&amp;dst=100231&amp;field=134" TargetMode = "External"/>
	<Relationship Id="rId58" Type="http://schemas.openxmlformats.org/officeDocument/2006/relationships/hyperlink" Target="https://login.consultant.ru/link/?req=doc&amp;base=OTN&amp;n=7531&amp;date=05.08.2025&amp;dst=100260&amp;field=134" TargetMode = "External"/>
	<Relationship Id="rId59" Type="http://schemas.openxmlformats.org/officeDocument/2006/relationships/hyperlink" Target="https://login.consultant.ru/link/?req=doc&amp;base=OTN&amp;n=44211&amp;date=05.08.2025&amp;dst=100104&amp;field=134" TargetMode = "External"/>
	<Relationship Id="rId60" Type="http://schemas.openxmlformats.org/officeDocument/2006/relationships/hyperlink" Target="https://login.consultant.ru/link/?req=doc&amp;base=OTN&amp;n=44211&amp;date=05.08.2025&amp;dst=100142&amp;field=134" TargetMode = "External"/>
	<Relationship Id="rId61" Type="http://schemas.openxmlformats.org/officeDocument/2006/relationships/hyperlink" Target="https://login.consultant.ru/link/?req=doc&amp;base=OTN&amp;n=44211&amp;date=05.08.2025&amp;dst=100104&amp;field=134" TargetMode = "External"/>
	<Relationship Id="rId62" Type="http://schemas.openxmlformats.org/officeDocument/2006/relationships/hyperlink" Target="https://login.consultant.ru/link/?req=doc&amp;base=OTN&amp;n=44211&amp;date=05.08.2025&amp;dst=100142&amp;field=134" TargetMode = "External"/>
	<Relationship Id="rId63" Type="http://schemas.openxmlformats.org/officeDocument/2006/relationships/hyperlink" Target="https://login.consultant.ru/link/?req=doc&amp;base=OTN&amp;n=18066&amp;date=05.08.2025&amp;dst=100126&amp;field=134" TargetMode = "External"/>
	<Relationship Id="rId64" Type="http://schemas.openxmlformats.org/officeDocument/2006/relationships/hyperlink" Target="https://login.consultant.ru/link/?req=doc&amp;base=OTN&amp;n=18066&amp;date=05.08.2025&amp;dst=100195&amp;field=134" TargetMode = "External"/>
	<Relationship Id="rId65" Type="http://schemas.openxmlformats.org/officeDocument/2006/relationships/hyperlink" Target="https://login.consultant.ru/link/?req=doc&amp;base=OTN&amp;n=17878&amp;date=05.08.2025&amp;dst=100155&amp;field=134" TargetMode = "External"/>
	<Relationship Id="rId66" Type="http://schemas.openxmlformats.org/officeDocument/2006/relationships/hyperlink" Target="https://login.consultant.ru/link/?req=doc&amp;base=OTN&amp;n=17878&amp;date=05.08.2025&amp;dst=100199&amp;field=134" TargetMode = "External"/>
	<Relationship Id="rId67" Type="http://schemas.openxmlformats.org/officeDocument/2006/relationships/hyperlink" Target="https://login.consultant.ru/link/?req=doc&amp;base=OTN&amp;n=5982&amp;date=05.08.2025&amp;dst=100074&amp;field=134" TargetMode = "External"/>
	<Relationship Id="rId68" Type="http://schemas.openxmlformats.org/officeDocument/2006/relationships/hyperlink" Target="https://login.consultant.ru/link/?req=doc&amp;base=OTN&amp;n=5982&amp;date=05.08.2025&amp;dst=100085&amp;field=134" TargetMode = "External"/>
	<Relationship Id="rId69" Type="http://schemas.openxmlformats.org/officeDocument/2006/relationships/hyperlink" Target="https://login.consultant.ru/link/?req=doc&amp;base=OTN&amp;n=6036&amp;date=05.08.2025&amp;dst=100120&amp;field=134" TargetMode = "External"/>
	<Relationship Id="rId70" Type="http://schemas.openxmlformats.org/officeDocument/2006/relationships/hyperlink" Target="https://login.consultant.ru/link/?req=doc&amp;base=OTN&amp;n=6036&amp;date=05.08.2025&amp;dst=100121&amp;field=134" TargetMode = "External"/>
	<Relationship Id="rId71" Type="http://schemas.openxmlformats.org/officeDocument/2006/relationships/hyperlink" Target="https://login.consultant.ru/link/?req=doc&amp;base=LAW&amp;n=481156&amp;date=05.08.2025&amp;dst=100047&amp;field=134" TargetMode = "External"/>
	<Relationship Id="rId72" Type="http://schemas.openxmlformats.org/officeDocument/2006/relationships/hyperlink" Target="https://login.consultant.ru/link/?req=doc&amp;base=OTN&amp;n=13794&amp;date=05.08.2025&amp;dst=100122&amp;field=134" TargetMode = "External"/>
	<Relationship Id="rId73" Type="http://schemas.openxmlformats.org/officeDocument/2006/relationships/hyperlink" Target="https://login.consultant.ru/link/?req=doc&amp;base=OTN&amp;n=13794&amp;date=05.08.2025&amp;dst=100126&amp;field=134" TargetMode = "External"/>
	<Relationship Id="rId74" Type="http://schemas.openxmlformats.org/officeDocument/2006/relationships/hyperlink" Target="https://login.consultant.ru/link/?req=doc&amp;base=LAW&amp;n=481156&amp;date=05.08.2025&amp;dst=100057&amp;field=134" TargetMode = "External"/>
	<Relationship Id="rId75" Type="http://schemas.openxmlformats.org/officeDocument/2006/relationships/hyperlink" Target="https://login.consultant.ru/link/?req=doc&amp;base=LAW&amp;n=481156&amp;date=05.08.2025&amp;dst=100058&amp;field=134" TargetMode = "External"/>
	<Relationship Id="rId76" Type="http://schemas.openxmlformats.org/officeDocument/2006/relationships/hyperlink" Target="https://login.consultant.ru/link/?req=doc&amp;base=LAW&amp;n=481156&amp;date=05.08.2025&amp;dst=100059&amp;field=134" TargetMode = "External"/>
	<Relationship Id="rId77" Type="http://schemas.openxmlformats.org/officeDocument/2006/relationships/hyperlink" Target="https://login.consultant.ru/link/?req=doc&amp;base=OTN&amp;n=18066&amp;date=05.08.2025&amp;dst=100240&amp;field=134" TargetMode = "External"/>
	<Relationship Id="rId78" Type="http://schemas.openxmlformats.org/officeDocument/2006/relationships/hyperlink" Target="https://login.consultant.ru/link/?req=doc&amp;base=OTN&amp;n=17878&amp;date=05.08.2025&amp;dst=100254&amp;field=134" TargetMode = "External"/>
	<Relationship Id="rId79" Type="http://schemas.openxmlformats.org/officeDocument/2006/relationships/hyperlink" Target="https://login.consultant.ru/link/?req=doc&amp;base=LAW&amp;n=481156&amp;date=05.08.2025&amp;dst=100061&amp;field=134" TargetMode = "External"/>
	<Relationship Id="rId80" Type="http://schemas.openxmlformats.org/officeDocument/2006/relationships/hyperlink" Target="https://login.consultant.ru/link/?req=doc&amp;base=LAW&amp;n=144504&amp;date=05.08.2025" TargetMode = "External"/>
	<Relationship Id="rId81" Type="http://schemas.openxmlformats.org/officeDocument/2006/relationships/hyperlink" Target="https://login.consultant.ru/link/?req=doc&amp;base=LAW&amp;n=481156&amp;date=05.08.2025&amp;dst=100065&amp;field=134" TargetMode = "External"/>
	<Relationship Id="rId82" Type="http://schemas.openxmlformats.org/officeDocument/2006/relationships/hyperlink" Target="https://login.consultant.ru/link/?req=doc&amp;base=LAW&amp;n=481078&amp;date=05.08.2025&amp;dst=100060&amp;field=134" TargetMode = "External"/>
	<Relationship Id="rId83" Type="http://schemas.openxmlformats.org/officeDocument/2006/relationships/header" Target="header2.xml"/>
	<Relationship Id="rId84" Type="http://schemas.openxmlformats.org/officeDocument/2006/relationships/footer" Target="footer2.xml"/>
	<Relationship Id="rId85" Type="http://schemas.openxmlformats.org/officeDocument/2006/relationships/hyperlink" Target="https://login.consultant.ru/link/?req=doc&amp;base=LAW&amp;n=481078&amp;date=05.08.2025&amp;dst=100113&amp;field=134" TargetMode = "External"/>
	<Relationship Id="rId86" Type="http://schemas.openxmlformats.org/officeDocument/2006/relationships/hyperlink" Target="https://login.consultant.ru/link/?req=doc&amp;base=LAW&amp;n=410483&amp;date=05.08.2025&amp;dst=100254&amp;field=134" TargetMode = "External"/>
	<Relationship Id="rId87" Type="http://schemas.openxmlformats.org/officeDocument/2006/relationships/hyperlink" Target="https://login.consultant.ru/link/?req=doc&amp;base=LAW&amp;n=410483&amp;date=05.08.2025&amp;dst=100254&amp;field=134" TargetMode = "External"/>
	<Relationship Id="rId88" Type="http://schemas.openxmlformats.org/officeDocument/2006/relationships/hyperlink" Target="https://login.consultant.ru/link/?req=doc&amp;base=LAW&amp;n=145284&amp;date=05.08.2025&amp;dst=100010&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13.11.2013 N 1013
(ред. от 17.07.2024)
"О техническом осмотре самоходных машин и других видов техники"
(вместе с "Правилами проведения технического осмотра самоходных машин и других видов техники")</dc:title>
  <dcterms:created xsi:type="dcterms:W3CDTF">2025-08-05T14:32:18Z</dcterms:created>
</cp:coreProperties>
</file>