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45F" w:rsidRDefault="0003745F" w:rsidP="0003745F">
      <w:pPr>
        <w:pStyle w:val="a5"/>
        <w:shd w:val="clear" w:color="auto" w:fill="FFFFFF"/>
        <w:spacing w:before="0" w:beforeAutospacing="0" w:after="150" w:afterAutospacing="0"/>
        <w:ind w:left="720"/>
        <w:rPr>
          <w:rFonts w:ascii="Verdana" w:hAnsi="Verdana"/>
          <w:color w:val="000000"/>
          <w:sz w:val="17"/>
          <w:szCs w:val="17"/>
        </w:rPr>
      </w:pPr>
    </w:p>
    <w:p w:rsidR="0003745F" w:rsidRDefault="0003745F" w:rsidP="0003745F">
      <w:pPr>
        <w:pStyle w:val="a5"/>
        <w:shd w:val="clear" w:color="auto" w:fill="FFFFFF"/>
        <w:spacing w:before="0" w:beforeAutospacing="0" w:after="150" w:afterAutospacing="0"/>
        <w:ind w:left="720"/>
        <w:rPr>
          <w:rFonts w:ascii="Verdana" w:hAnsi="Verdana"/>
          <w:color w:val="000000"/>
          <w:sz w:val="17"/>
          <w:szCs w:val="17"/>
        </w:rPr>
      </w:pPr>
    </w:p>
    <w:p w:rsidR="0003745F" w:rsidRPr="005F5047" w:rsidRDefault="0003745F" w:rsidP="005F5047">
      <w:pPr>
        <w:tabs>
          <w:tab w:val="left" w:pos="4536"/>
        </w:tabs>
        <w:rPr>
          <w:sz w:val="24"/>
          <w:szCs w:val="24"/>
        </w:rPr>
      </w:pPr>
      <w:r>
        <w:t xml:space="preserve">                          </w:t>
      </w:r>
      <w:r w:rsidR="005F5047">
        <w:t xml:space="preserve">                                          </w:t>
      </w:r>
      <w:r w:rsidR="001B6DCC" w:rsidRPr="005F5047">
        <w:rPr>
          <w:sz w:val="24"/>
          <w:szCs w:val="24"/>
        </w:rPr>
        <w:t>Сводная информация</w:t>
      </w:r>
    </w:p>
    <w:p w:rsidR="001B6DCC" w:rsidRPr="005F5047" w:rsidRDefault="005F5047" w:rsidP="005F5047">
      <w:pPr>
        <w:tabs>
          <w:tab w:val="left" w:pos="4536"/>
        </w:tabs>
        <w:rPr>
          <w:color w:val="000000"/>
          <w:sz w:val="24"/>
          <w:szCs w:val="24"/>
        </w:rPr>
      </w:pPr>
      <w:r w:rsidRPr="005F5047">
        <w:rPr>
          <w:sz w:val="24"/>
          <w:szCs w:val="24"/>
        </w:rPr>
        <w:t xml:space="preserve">       </w:t>
      </w:r>
      <w:r>
        <w:rPr>
          <w:sz w:val="24"/>
          <w:szCs w:val="24"/>
        </w:rPr>
        <w:t xml:space="preserve">                </w:t>
      </w:r>
      <w:r w:rsidRPr="005F5047">
        <w:rPr>
          <w:sz w:val="24"/>
          <w:szCs w:val="24"/>
        </w:rPr>
        <w:t xml:space="preserve"> </w:t>
      </w:r>
      <w:r w:rsidR="001B6DCC" w:rsidRPr="005F5047">
        <w:rPr>
          <w:sz w:val="24"/>
          <w:szCs w:val="24"/>
        </w:rPr>
        <w:t>Какой аттракцион подлежит государственной регистрации?</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t>Постановлением Правительства Российской Федерации от 30.12.2019 № 1939 «Об утверждении Правил государственной регистрации аттракционов» (далее по тексту статьи – Правила) установлен порядок государственной регистрации аттракционов. Утвержденные Правила распространяются на аттракционы, виды и типы которых предусмотрены приложением № 1 к техническому регламенту Евразийского экономического союза "О безопасности аттракционов" (ТР ЕАЭС 038/2016). Технический регламент распространяется на временно устанавливаемые (перевозимые) аттракционы и стационарные аттракционы (собранные на фундаментах или без фундаментов), при пользовании которыми на пассажиров оказывается биомеханическое воздействие степени потенциального биомеханического риска RB-1, или RB-2, или RB-3 и которые подразделяются на следующие виды и типы:</w:t>
      </w:r>
    </w:p>
    <w:tbl>
      <w:tblPr>
        <w:tblW w:w="10485" w:type="dxa"/>
        <w:jc w:val="center"/>
        <w:tblCellSpacing w:w="7"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372"/>
        <w:gridCol w:w="5113"/>
      </w:tblGrid>
      <w:tr w:rsidR="001B6DCC" w:rsidRPr="001B6DCC" w:rsidTr="001B6DCC">
        <w:trPr>
          <w:tblCellSpacing w:w="7" w:type="dxa"/>
          <w:jc w:val="center"/>
        </w:trPr>
        <w:tc>
          <w:tcPr>
            <w:tcW w:w="5250"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15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Вид аттракционов</w:t>
            </w:r>
          </w:p>
        </w:tc>
        <w:tc>
          <w:tcPr>
            <w:tcW w:w="4995"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15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Тип аттракционов</w:t>
            </w:r>
          </w:p>
        </w:tc>
      </w:tr>
      <w:tr w:rsidR="001B6DCC" w:rsidRPr="001B6DCC" w:rsidTr="001B6DCC">
        <w:trPr>
          <w:tblCellSpacing w:w="7" w:type="dxa"/>
          <w:jc w:val="center"/>
        </w:trPr>
        <w:tc>
          <w:tcPr>
            <w:tcW w:w="5250"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15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Механизированные поступательного движения</w:t>
            </w:r>
          </w:p>
          <w:p w:rsidR="001B6DCC" w:rsidRPr="001B6DCC" w:rsidRDefault="001B6DCC" w:rsidP="001B6DCC">
            <w:pPr>
              <w:spacing w:after="15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(в том числе с использованием воды)</w:t>
            </w:r>
          </w:p>
        </w:tc>
        <w:tc>
          <w:tcPr>
            <w:tcW w:w="4995"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numPr>
                <w:ilvl w:val="0"/>
                <w:numId w:val="6"/>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катальные горы;</w:t>
            </w:r>
          </w:p>
          <w:p w:rsidR="001B6DCC" w:rsidRPr="001B6DCC" w:rsidRDefault="001B6DCC" w:rsidP="001B6DCC">
            <w:pPr>
              <w:numPr>
                <w:ilvl w:val="0"/>
                <w:numId w:val="6"/>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башни свободного падения;</w:t>
            </w:r>
          </w:p>
          <w:p w:rsidR="001B6DCC" w:rsidRPr="001B6DCC" w:rsidRDefault="001B6DCC" w:rsidP="001B6DCC">
            <w:pPr>
              <w:numPr>
                <w:ilvl w:val="0"/>
                <w:numId w:val="6"/>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катальные горы водные на лодках или плотах;</w:t>
            </w:r>
          </w:p>
          <w:p w:rsidR="001B6DCC" w:rsidRPr="001B6DCC" w:rsidRDefault="001B6DCC" w:rsidP="001B6DCC">
            <w:pPr>
              <w:numPr>
                <w:ilvl w:val="0"/>
                <w:numId w:val="6"/>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катапульты;</w:t>
            </w:r>
          </w:p>
          <w:p w:rsidR="001B6DCC" w:rsidRPr="001B6DCC" w:rsidRDefault="001B6DCC" w:rsidP="001B6DCC">
            <w:pPr>
              <w:numPr>
                <w:ilvl w:val="0"/>
                <w:numId w:val="6"/>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поезда парковые на рельсах;</w:t>
            </w:r>
          </w:p>
          <w:p w:rsidR="001B6DCC" w:rsidRPr="001B6DCC" w:rsidRDefault="001B6DCC" w:rsidP="001B6DCC">
            <w:pPr>
              <w:numPr>
                <w:ilvl w:val="0"/>
                <w:numId w:val="6"/>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монорельсовые и канатные парковые дороги.</w:t>
            </w:r>
          </w:p>
        </w:tc>
      </w:tr>
      <w:tr w:rsidR="001B6DCC" w:rsidRPr="001B6DCC" w:rsidTr="001B6DCC">
        <w:trPr>
          <w:tblCellSpacing w:w="7" w:type="dxa"/>
          <w:jc w:val="center"/>
        </w:trPr>
        <w:tc>
          <w:tcPr>
            <w:tcW w:w="5250"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Механизированные вращательного движения</w:t>
            </w:r>
          </w:p>
        </w:tc>
        <w:tc>
          <w:tcPr>
            <w:tcW w:w="4995"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numPr>
                <w:ilvl w:val="0"/>
                <w:numId w:val="7"/>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колеса обозрения;</w:t>
            </w:r>
          </w:p>
          <w:p w:rsidR="001B6DCC" w:rsidRPr="001B6DCC" w:rsidRDefault="001B6DCC" w:rsidP="001B6DCC">
            <w:pPr>
              <w:numPr>
                <w:ilvl w:val="0"/>
                <w:numId w:val="7"/>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качели;</w:t>
            </w:r>
          </w:p>
          <w:p w:rsidR="001B6DCC" w:rsidRPr="001B6DCC" w:rsidRDefault="001B6DCC" w:rsidP="001B6DCC">
            <w:pPr>
              <w:numPr>
                <w:ilvl w:val="0"/>
                <w:numId w:val="7"/>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карусели.</w:t>
            </w:r>
          </w:p>
        </w:tc>
      </w:tr>
      <w:tr w:rsidR="001B6DCC" w:rsidRPr="001B6DCC" w:rsidTr="001B6DCC">
        <w:trPr>
          <w:tblCellSpacing w:w="7" w:type="dxa"/>
          <w:jc w:val="center"/>
        </w:trPr>
        <w:tc>
          <w:tcPr>
            <w:tcW w:w="5250"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Механизированные сложного движения</w:t>
            </w:r>
          </w:p>
        </w:tc>
        <w:tc>
          <w:tcPr>
            <w:tcW w:w="4995"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numPr>
                <w:ilvl w:val="0"/>
                <w:numId w:val="8"/>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с поступательно-вращательным движением;</w:t>
            </w:r>
          </w:p>
          <w:p w:rsidR="001B6DCC" w:rsidRPr="001B6DCC" w:rsidRDefault="001B6DCC" w:rsidP="001B6DCC">
            <w:pPr>
              <w:numPr>
                <w:ilvl w:val="0"/>
                <w:numId w:val="8"/>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механизированные кресла кинотеатров;</w:t>
            </w:r>
          </w:p>
          <w:p w:rsidR="001B6DCC" w:rsidRPr="001B6DCC" w:rsidRDefault="001B6DCC" w:rsidP="001B6DCC">
            <w:pPr>
              <w:numPr>
                <w:ilvl w:val="0"/>
                <w:numId w:val="8"/>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симуляторы;</w:t>
            </w:r>
          </w:p>
          <w:p w:rsidR="001B6DCC" w:rsidRPr="001B6DCC" w:rsidRDefault="001B6DCC" w:rsidP="001B6DCC">
            <w:pPr>
              <w:numPr>
                <w:ilvl w:val="0"/>
                <w:numId w:val="8"/>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аттракционы на основе промышленных роботов.</w:t>
            </w:r>
          </w:p>
        </w:tc>
      </w:tr>
      <w:tr w:rsidR="001B6DCC" w:rsidRPr="001B6DCC" w:rsidTr="001B6DCC">
        <w:trPr>
          <w:tblCellSpacing w:w="7" w:type="dxa"/>
          <w:jc w:val="center"/>
        </w:trPr>
        <w:tc>
          <w:tcPr>
            <w:tcW w:w="5250"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Автодромы и картинги</w:t>
            </w:r>
          </w:p>
        </w:tc>
        <w:tc>
          <w:tcPr>
            <w:tcW w:w="4995"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numPr>
                <w:ilvl w:val="0"/>
                <w:numId w:val="9"/>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сталкивающиеся автомобили;</w:t>
            </w:r>
          </w:p>
          <w:p w:rsidR="001B6DCC" w:rsidRPr="001B6DCC" w:rsidRDefault="001B6DCC" w:rsidP="001B6DCC">
            <w:pPr>
              <w:numPr>
                <w:ilvl w:val="0"/>
                <w:numId w:val="9"/>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парковые автомобили или автопоезда прогулочные;</w:t>
            </w:r>
          </w:p>
          <w:p w:rsidR="001B6DCC" w:rsidRPr="001B6DCC" w:rsidRDefault="001B6DCC" w:rsidP="001B6DCC">
            <w:pPr>
              <w:numPr>
                <w:ilvl w:val="0"/>
                <w:numId w:val="9"/>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картинги (в том числе на эстакадах);</w:t>
            </w:r>
          </w:p>
          <w:p w:rsidR="001B6DCC" w:rsidRPr="001B6DCC" w:rsidRDefault="001B6DCC" w:rsidP="001B6DCC">
            <w:pPr>
              <w:numPr>
                <w:ilvl w:val="0"/>
                <w:numId w:val="9"/>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скоростные дороги с мини-автомобилями.</w:t>
            </w:r>
          </w:p>
        </w:tc>
      </w:tr>
      <w:tr w:rsidR="001B6DCC" w:rsidRPr="001B6DCC" w:rsidTr="001B6DCC">
        <w:trPr>
          <w:tblCellSpacing w:w="7" w:type="dxa"/>
          <w:jc w:val="center"/>
        </w:trPr>
        <w:tc>
          <w:tcPr>
            <w:tcW w:w="5250"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Надувные</w:t>
            </w:r>
          </w:p>
        </w:tc>
        <w:tc>
          <w:tcPr>
            <w:tcW w:w="4995"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numPr>
                <w:ilvl w:val="0"/>
                <w:numId w:val="10"/>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батуты надувные;</w:t>
            </w:r>
          </w:p>
          <w:p w:rsidR="001B6DCC" w:rsidRPr="001B6DCC" w:rsidRDefault="001B6DCC" w:rsidP="001B6DCC">
            <w:pPr>
              <w:numPr>
                <w:ilvl w:val="0"/>
                <w:numId w:val="10"/>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горки;</w:t>
            </w:r>
          </w:p>
          <w:p w:rsidR="001B6DCC" w:rsidRPr="001B6DCC" w:rsidRDefault="001B6DCC" w:rsidP="001B6DCC">
            <w:pPr>
              <w:numPr>
                <w:ilvl w:val="0"/>
                <w:numId w:val="10"/>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лабиринты.</w:t>
            </w:r>
          </w:p>
        </w:tc>
      </w:tr>
      <w:tr w:rsidR="001B6DCC" w:rsidRPr="001B6DCC" w:rsidTr="001B6DCC">
        <w:trPr>
          <w:tblCellSpacing w:w="7" w:type="dxa"/>
          <w:jc w:val="center"/>
        </w:trPr>
        <w:tc>
          <w:tcPr>
            <w:tcW w:w="5250"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Водные немеханизированные</w:t>
            </w:r>
          </w:p>
        </w:tc>
        <w:tc>
          <w:tcPr>
            <w:tcW w:w="4995"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numPr>
                <w:ilvl w:val="0"/>
                <w:numId w:val="11"/>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водные спуски прямые и с виражами;</w:t>
            </w:r>
          </w:p>
          <w:p w:rsidR="001B6DCC" w:rsidRPr="001B6DCC" w:rsidRDefault="001B6DCC" w:rsidP="001B6DCC">
            <w:pPr>
              <w:numPr>
                <w:ilvl w:val="0"/>
                <w:numId w:val="11"/>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трамплины;</w:t>
            </w:r>
          </w:p>
          <w:p w:rsidR="001B6DCC" w:rsidRPr="001B6DCC" w:rsidRDefault="001B6DCC" w:rsidP="001B6DCC">
            <w:pPr>
              <w:numPr>
                <w:ilvl w:val="0"/>
                <w:numId w:val="11"/>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плавающие платформы;</w:t>
            </w:r>
          </w:p>
          <w:p w:rsidR="001B6DCC" w:rsidRPr="001B6DCC" w:rsidRDefault="001B6DCC" w:rsidP="001B6DCC">
            <w:pPr>
              <w:numPr>
                <w:ilvl w:val="0"/>
                <w:numId w:val="11"/>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частично погруженные в воду;</w:t>
            </w:r>
          </w:p>
          <w:p w:rsidR="001B6DCC" w:rsidRPr="001B6DCC" w:rsidRDefault="001B6DCC" w:rsidP="001B6DCC">
            <w:pPr>
              <w:numPr>
                <w:ilvl w:val="0"/>
                <w:numId w:val="11"/>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с выливанием воды на посетителей.</w:t>
            </w:r>
          </w:p>
        </w:tc>
      </w:tr>
      <w:tr w:rsidR="001B6DCC" w:rsidRPr="001B6DCC" w:rsidTr="001B6DCC">
        <w:trPr>
          <w:tblCellSpacing w:w="7" w:type="dxa"/>
          <w:jc w:val="center"/>
        </w:trPr>
        <w:tc>
          <w:tcPr>
            <w:tcW w:w="5250"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Немеханизированные</w:t>
            </w:r>
          </w:p>
        </w:tc>
        <w:tc>
          <w:tcPr>
            <w:tcW w:w="4995"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numPr>
                <w:ilvl w:val="0"/>
                <w:numId w:val="12"/>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горки;</w:t>
            </w:r>
          </w:p>
          <w:p w:rsidR="001B6DCC" w:rsidRPr="001B6DCC" w:rsidRDefault="001B6DCC" w:rsidP="001B6DCC">
            <w:pPr>
              <w:numPr>
                <w:ilvl w:val="0"/>
                <w:numId w:val="12"/>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качели;</w:t>
            </w:r>
          </w:p>
          <w:p w:rsidR="001B6DCC" w:rsidRPr="001B6DCC" w:rsidRDefault="001B6DCC" w:rsidP="001B6DCC">
            <w:pPr>
              <w:numPr>
                <w:ilvl w:val="0"/>
                <w:numId w:val="12"/>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карусели;</w:t>
            </w:r>
          </w:p>
          <w:p w:rsidR="001B6DCC" w:rsidRPr="001B6DCC" w:rsidRDefault="001B6DCC" w:rsidP="001B6DCC">
            <w:pPr>
              <w:numPr>
                <w:ilvl w:val="0"/>
                <w:numId w:val="12"/>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"тарзанки";</w:t>
            </w:r>
          </w:p>
          <w:p w:rsidR="001B6DCC" w:rsidRPr="001B6DCC" w:rsidRDefault="001B6DCC" w:rsidP="001B6DCC">
            <w:pPr>
              <w:numPr>
                <w:ilvl w:val="0"/>
                <w:numId w:val="12"/>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lastRenderedPageBreak/>
              <w:t>батуты.</w:t>
            </w:r>
          </w:p>
        </w:tc>
      </w:tr>
      <w:tr w:rsidR="001B6DCC" w:rsidRPr="001B6DCC" w:rsidTr="001B6DCC">
        <w:trPr>
          <w:tblCellSpacing w:w="7" w:type="dxa"/>
          <w:jc w:val="center"/>
        </w:trPr>
        <w:tc>
          <w:tcPr>
            <w:tcW w:w="5250"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lastRenderedPageBreak/>
              <w:t>Для детей</w:t>
            </w:r>
          </w:p>
        </w:tc>
        <w:tc>
          <w:tcPr>
            <w:tcW w:w="4995"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numPr>
                <w:ilvl w:val="0"/>
                <w:numId w:val="13"/>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горки, спуски;</w:t>
            </w:r>
          </w:p>
          <w:p w:rsidR="001B6DCC" w:rsidRPr="001B6DCC" w:rsidRDefault="001B6DCC" w:rsidP="001B6DCC">
            <w:pPr>
              <w:numPr>
                <w:ilvl w:val="0"/>
                <w:numId w:val="13"/>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качели;</w:t>
            </w:r>
          </w:p>
          <w:p w:rsidR="001B6DCC" w:rsidRPr="001B6DCC" w:rsidRDefault="001B6DCC" w:rsidP="001B6DCC">
            <w:pPr>
              <w:numPr>
                <w:ilvl w:val="0"/>
                <w:numId w:val="13"/>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карусели;</w:t>
            </w:r>
          </w:p>
          <w:p w:rsidR="001B6DCC" w:rsidRPr="001B6DCC" w:rsidRDefault="001B6DCC" w:rsidP="001B6DCC">
            <w:pPr>
              <w:numPr>
                <w:ilvl w:val="0"/>
                <w:numId w:val="13"/>
              </w:numPr>
              <w:spacing w:before="100" w:beforeAutospacing="1" w:after="100" w:afterAutospacing="1" w:line="240" w:lineRule="auto"/>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электромобили или педальные автомобили.</w:t>
            </w:r>
          </w:p>
        </w:tc>
      </w:tr>
    </w:tbl>
    <w:p w:rsidR="001B6DCC" w:rsidRPr="001B6DCC" w:rsidRDefault="001B6DCC" w:rsidP="001B6DCC">
      <w:pPr>
        <w:shd w:val="clear" w:color="auto" w:fill="FFFFFF"/>
        <w:spacing w:after="150" w:line="240" w:lineRule="auto"/>
        <w:jc w:val="center"/>
        <w:rPr>
          <w:rFonts w:ascii="Verdana" w:eastAsia="Times New Roman" w:hAnsi="Verdana" w:cs="Times New Roman"/>
          <w:color w:val="000000"/>
          <w:sz w:val="17"/>
          <w:szCs w:val="17"/>
          <w:lang w:eastAsia="ru-RU"/>
        </w:rPr>
      </w:pPr>
      <w:r w:rsidRPr="001B6DCC">
        <w:rPr>
          <w:rFonts w:ascii="Verdana" w:eastAsia="Times New Roman" w:hAnsi="Verdana" w:cs="Times New Roman"/>
          <w:b/>
          <w:bCs/>
          <w:color w:val="000000"/>
          <w:sz w:val="18"/>
          <w:szCs w:val="18"/>
          <w:lang w:eastAsia="ru-RU"/>
        </w:rPr>
        <w:t>Как определить к какой степени потенциального биомеханического риска (RB-1, RB-2, RB-3) относится аттракцион?</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t xml:space="preserve">Технический регламент устанавливает, что степень потенциального биомеханического риска </w:t>
      </w:r>
      <w:proofErr w:type="gramStart"/>
      <w:r w:rsidRPr="001B6DCC">
        <w:rPr>
          <w:rFonts w:ascii="Verdana" w:eastAsia="Times New Roman" w:hAnsi="Verdana" w:cs="Times New Roman"/>
          <w:color w:val="000000"/>
          <w:sz w:val="18"/>
          <w:szCs w:val="18"/>
          <w:lang w:eastAsia="ru-RU"/>
        </w:rPr>
        <w:t>- это</w:t>
      </w:r>
      <w:proofErr w:type="gramEnd"/>
      <w:r w:rsidRPr="001B6DCC">
        <w:rPr>
          <w:rFonts w:ascii="Verdana" w:eastAsia="Times New Roman" w:hAnsi="Verdana" w:cs="Times New Roman"/>
          <w:color w:val="000000"/>
          <w:sz w:val="18"/>
          <w:szCs w:val="18"/>
          <w:lang w:eastAsia="ru-RU"/>
        </w:rPr>
        <w:t xml:space="preserve"> вероятность причинения пассажиру (пассажирам) вреда в результате биомеханических воздействий различной степени с учетом возможной тяжести последствий, и разделяет:</w:t>
      </w:r>
    </w:p>
    <w:p w:rsidR="001B6DCC" w:rsidRPr="001B6DCC" w:rsidRDefault="001B6DCC" w:rsidP="001B6DCC">
      <w:pPr>
        <w:numPr>
          <w:ilvl w:val="0"/>
          <w:numId w:val="14"/>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высокую степень потенциального биомеханического риска (RB-1) - вероятность причинения пассажиру (пассажирам) вреда, создающего угрозу для его (их) жизни, в результате биомеханических воздействий;</w:t>
      </w:r>
    </w:p>
    <w:p w:rsidR="001B6DCC" w:rsidRPr="001B6DCC" w:rsidRDefault="001B6DCC" w:rsidP="001B6DCC">
      <w:pPr>
        <w:numPr>
          <w:ilvl w:val="0"/>
          <w:numId w:val="14"/>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среднюю степень потенциального биомеханического риска (RB-2) - вероятность причинения пассажиру (пассажирам) тяжкого вреда здоровью в результате биомеханических воздействий;</w:t>
      </w:r>
    </w:p>
    <w:p w:rsidR="001B6DCC" w:rsidRPr="001B6DCC" w:rsidRDefault="001B6DCC" w:rsidP="001B6DCC">
      <w:pPr>
        <w:numPr>
          <w:ilvl w:val="0"/>
          <w:numId w:val="14"/>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низкую степень потенциального биомеханического риска (RB-3) - вероятность причинения вреда с временной потерей трудоспособности пассажира (пассажиров) в результате биомеханических воздействий;</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t>Степень потенциального биомеханического риска определяется в зависимости от параметров аттракциона и производимого на пассажира вида биомеханического воздействия. Показатели обоснованы статистическими данными о последствиях травм при падении людей с высоты. </w:t>
      </w:r>
    </w:p>
    <w:tbl>
      <w:tblPr>
        <w:tblW w:w="10351" w:type="dxa"/>
        <w:jc w:val="center"/>
        <w:tblCellSpacing w:w="7"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910"/>
        <w:gridCol w:w="1561"/>
        <w:gridCol w:w="1983"/>
        <w:gridCol w:w="1701"/>
        <w:gridCol w:w="2196"/>
      </w:tblGrid>
      <w:tr w:rsidR="001B6DCC" w:rsidRPr="001B6DCC" w:rsidTr="001B6DCC">
        <w:trPr>
          <w:tblCellSpacing w:w="7" w:type="dxa"/>
          <w:jc w:val="center"/>
        </w:trPr>
        <w:tc>
          <w:tcPr>
            <w:tcW w:w="2891" w:type="dxa"/>
            <w:vMerge w:val="restart"/>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Вид биомеханического воздействия</w:t>
            </w:r>
          </w:p>
        </w:tc>
        <w:tc>
          <w:tcPr>
            <w:tcW w:w="1548" w:type="dxa"/>
            <w:vMerge w:val="restart"/>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Обозначение</w:t>
            </w:r>
          </w:p>
        </w:tc>
        <w:tc>
          <w:tcPr>
            <w:tcW w:w="5864" w:type="dxa"/>
            <w:gridSpan w:val="3"/>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Степень потенциального биомеханического риска</w:t>
            </w:r>
          </w:p>
        </w:tc>
      </w:tr>
      <w:tr w:rsidR="001B6DCC" w:rsidRPr="001B6DCC" w:rsidTr="001B6DCC">
        <w:trPr>
          <w:tblCellSpacing w:w="7"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B6DCC" w:rsidRPr="001B6DCC" w:rsidRDefault="001B6DCC" w:rsidP="001B6DCC">
            <w:pPr>
              <w:spacing w:after="0" w:line="240" w:lineRule="auto"/>
              <w:rPr>
                <w:rFonts w:ascii="Verdana" w:eastAsia="Times New Roman" w:hAnsi="Verdana" w:cs="Times New Roman"/>
                <w:sz w:val="17"/>
                <w:szCs w:val="17"/>
                <w:lang w:eastAsia="ru-RU"/>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6DCC" w:rsidRPr="001B6DCC" w:rsidRDefault="001B6DCC" w:rsidP="001B6DCC">
            <w:pPr>
              <w:spacing w:after="0" w:line="240" w:lineRule="auto"/>
              <w:rPr>
                <w:rFonts w:ascii="Verdana" w:eastAsia="Times New Roman" w:hAnsi="Verdana" w:cs="Times New Roman"/>
                <w:sz w:val="17"/>
                <w:szCs w:val="17"/>
                <w:lang w:eastAsia="ru-RU"/>
              </w:rPr>
            </w:pPr>
          </w:p>
        </w:tc>
        <w:tc>
          <w:tcPr>
            <w:tcW w:w="1972"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RB-1</w:t>
            </w:r>
          </w:p>
        </w:tc>
        <w:tc>
          <w:tcPr>
            <w:tcW w:w="1689"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RB-2</w:t>
            </w:r>
          </w:p>
        </w:tc>
        <w:tc>
          <w:tcPr>
            <w:tcW w:w="2179"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RB-3</w:t>
            </w:r>
          </w:p>
        </w:tc>
      </w:tr>
      <w:tr w:rsidR="001B6DCC" w:rsidRPr="001B6DCC" w:rsidTr="001B6DCC">
        <w:trPr>
          <w:tblCellSpacing w:w="7"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B6DCC" w:rsidRPr="001B6DCC" w:rsidRDefault="001B6DCC" w:rsidP="001B6DCC">
            <w:pPr>
              <w:spacing w:after="0" w:line="240" w:lineRule="auto"/>
              <w:rPr>
                <w:rFonts w:ascii="Verdana" w:eastAsia="Times New Roman" w:hAnsi="Verdana" w:cs="Times New Roman"/>
                <w:sz w:val="17"/>
                <w:szCs w:val="17"/>
                <w:lang w:eastAsia="ru-RU"/>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6DCC" w:rsidRPr="001B6DCC" w:rsidRDefault="001B6DCC" w:rsidP="001B6DCC">
            <w:pPr>
              <w:spacing w:after="0" w:line="240" w:lineRule="auto"/>
              <w:rPr>
                <w:rFonts w:ascii="Verdana" w:eastAsia="Times New Roman" w:hAnsi="Verdana" w:cs="Times New Roman"/>
                <w:sz w:val="17"/>
                <w:szCs w:val="17"/>
                <w:lang w:eastAsia="ru-RU"/>
              </w:rPr>
            </w:pPr>
          </w:p>
        </w:tc>
        <w:tc>
          <w:tcPr>
            <w:tcW w:w="5864" w:type="dxa"/>
            <w:gridSpan w:val="3"/>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Величина биомеханического воздействия</w:t>
            </w:r>
          </w:p>
        </w:tc>
      </w:tr>
      <w:tr w:rsidR="001B6DCC" w:rsidRPr="001B6DCC" w:rsidTr="001B6DCC">
        <w:trPr>
          <w:tblCellSpacing w:w="7" w:type="dxa"/>
          <w:jc w:val="center"/>
        </w:trPr>
        <w:tc>
          <w:tcPr>
            <w:tcW w:w="2891"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 </w:t>
            </w:r>
          </w:p>
        </w:tc>
        <w:tc>
          <w:tcPr>
            <w:tcW w:w="1548"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 </w:t>
            </w:r>
          </w:p>
        </w:tc>
        <w:tc>
          <w:tcPr>
            <w:tcW w:w="1972"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Высокая</w:t>
            </w:r>
          </w:p>
        </w:tc>
        <w:tc>
          <w:tcPr>
            <w:tcW w:w="1689"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Средняя</w:t>
            </w:r>
          </w:p>
        </w:tc>
        <w:tc>
          <w:tcPr>
            <w:tcW w:w="2179"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Низкая</w:t>
            </w:r>
          </w:p>
        </w:tc>
      </w:tr>
      <w:tr w:rsidR="001B6DCC" w:rsidRPr="001B6DCC" w:rsidTr="001B6DCC">
        <w:trPr>
          <w:tblCellSpacing w:w="7" w:type="dxa"/>
          <w:jc w:val="center"/>
        </w:trPr>
        <w:tc>
          <w:tcPr>
            <w:tcW w:w="2891"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15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Подъем или спуск с высоты</w:t>
            </w:r>
          </w:p>
        </w:tc>
        <w:tc>
          <w:tcPr>
            <w:tcW w:w="1548"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15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H (м)</w:t>
            </w:r>
          </w:p>
        </w:tc>
        <w:tc>
          <w:tcPr>
            <w:tcW w:w="1972"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150" w:line="240" w:lineRule="auto"/>
              <w:jc w:val="center"/>
              <w:rPr>
                <w:rFonts w:ascii="Verdana" w:eastAsia="Times New Roman" w:hAnsi="Verdana" w:cs="Times New Roman"/>
                <w:sz w:val="17"/>
                <w:szCs w:val="17"/>
                <w:lang w:eastAsia="ru-RU"/>
              </w:rPr>
            </w:pPr>
            <w:proofErr w:type="gramStart"/>
            <w:r w:rsidRPr="001B6DCC">
              <w:rPr>
                <w:rFonts w:ascii="Verdana" w:eastAsia="Times New Roman" w:hAnsi="Verdana" w:cs="Times New Roman"/>
                <w:sz w:val="18"/>
                <w:szCs w:val="18"/>
                <w:lang w:eastAsia="ru-RU"/>
              </w:rPr>
              <w:t>H &gt;</w:t>
            </w:r>
            <w:proofErr w:type="gramEnd"/>
            <w:r w:rsidRPr="001B6DCC">
              <w:rPr>
                <w:rFonts w:ascii="Verdana" w:eastAsia="Times New Roman" w:hAnsi="Verdana" w:cs="Times New Roman"/>
                <w:sz w:val="18"/>
                <w:szCs w:val="18"/>
                <w:lang w:eastAsia="ru-RU"/>
              </w:rPr>
              <w:t xml:space="preserve"> 8</w:t>
            </w:r>
          </w:p>
        </w:tc>
        <w:tc>
          <w:tcPr>
            <w:tcW w:w="1689"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15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 xml:space="preserve">2 </w:t>
            </w:r>
            <w:proofErr w:type="gramStart"/>
            <w:r w:rsidRPr="001B6DCC">
              <w:rPr>
                <w:rFonts w:ascii="Verdana" w:eastAsia="Times New Roman" w:hAnsi="Verdana" w:cs="Times New Roman"/>
                <w:sz w:val="18"/>
                <w:szCs w:val="18"/>
                <w:lang w:eastAsia="ru-RU"/>
              </w:rPr>
              <w:t>&lt; H</w:t>
            </w:r>
            <w:proofErr w:type="gramEnd"/>
            <w:r w:rsidRPr="001B6DCC">
              <w:rPr>
                <w:rFonts w:ascii="Verdana" w:eastAsia="Times New Roman" w:hAnsi="Verdana" w:cs="Times New Roman"/>
                <w:sz w:val="18"/>
                <w:szCs w:val="18"/>
                <w:lang w:eastAsia="ru-RU"/>
              </w:rPr>
              <w:t>  ≤ 8</w:t>
            </w:r>
          </w:p>
        </w:tc>
        <w:tc>
          <w:tcPr>
            <w:tcW w:w="2179"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15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 xml:space="preserve">0,4 </w:t>
            </w:r>
            <w:proofErr w:type="gramStart"/>
            <w:r w:rsidRPr="001B6DCC">
              <w:rPr>
                <w:rFonts w:ascii="Verdana" w:eastAsia="Times New Roman" w:hAnsi="Verdana" w:cs="Times New Roman"/>
                <w:sz w:val="18"/>
                <w:szCs w:val="18"/>
                <w:lang w:eastAsia="ru-RU"/>
              </w:rPr>
              <w:t>&lt; H</w:t>
            </w:r>
            <w:proofErr w:type="gramEnd"/>
            <w:r w:rsidRPr="001B6DCC">
              <w:rPr>
                <w:rFonts w:ascii="Verdana" w:eastAsia="Times New Roman" w:hAnsi="Verdana" w:cs="Times New Roman"/>
                <w:sz w:val="18"/>
                <w:szCs w:val="18"/>
                <w:lang w:eastAsia="ru-RU"/>
              </w:rPr>
              <w:t>  ≤ 2</w:t>
            </w:r>
          </w:p>
        </w:tc>
      </w:tr>
      <w:tr w:rsidR="001B6DCC" w:rsidRPr="001B6DCC" w:rsidTr="001B6DCC">
        <w:trPr>
          <w:tblCellSpacing w:w="7" w:type="dxa"/>
          <w:jc w:val="center"/>
        </w:trPr>
        <w:tc>
          <w:tcPr>
            <w:tcW w:w="2891"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15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Перемещение со скоростью</w:t>
            </w:r>
          </w:p>
        </w:tc>
        <w:tc>
          <w:tcPr>
            <w:tcW w:w="1548"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15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V (м/с)</w:t>
            </w:r>
          </w:p>
        </w:tc>
        <w:tc>
          <w:tcPr>
            <w:tcW w:w="1972"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150" w:line="240" w:lineRule="auto"/>
              <w:jc w:val="center"/>
              <w:rPr>
                <w:rFonts w:ascii="Verdana" w:eastAsia="Times New Roman" w:hAnsi="Verdana" w:cs="Times New Roman"/>
                <w:sz w:val="17"/>
                <w:szCs w:val="17"/>
                <w:lang w:eastAsia="ru-RU"/>
              </w:rPr>
            </w:pPr>
            <w:proofErr w:type="gramStart"/>
            <w:r w:rsidRPr="001B6DCC">
              <w:rPr>
                <w:rFonts w:ascii="Verdana" w:eastAsia="Times New Roman" w:hAnsi="Verdana" w:cs="Times New Roman"/>
                <w:sz w:val="18"/>
                <w:szCs w:val="18"/>
                <w:lang w:eastAsia="ru-RU"/>
              </w:rPr>
              <w:t>V &gt;</w:t>
            </w:r>
            <w:proofErr w:type="gramEnd"/>
            <w:r w:rsidRPr="001B6DCC">
              <w:rPr>
                <w:rFonts w:ascii="Verdana" w:eastAsia="Times New Roman" w:hAnsi="Verdana" w:cs="Times New Roman"/>
                <w:sz w:val="18"/>
                <w:szCs w:val="18"/>
                <w:lang w:eastAsia="ru-RU"/>
              </w:rPr>
              <w:t xml:space="preserve"> 20</w:t>
            </w:r>
          </w:p>
        </w:tc>
        <w:tc>
          <w:tcPr>
            <w:tcW w:w="1689"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15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 xml:space="preserve">10 </w:t>
            </w:r>
            <w:proofErr w:type="gramStart"/>
            <w:r w:rsidRPr="001B6DCC">
              <w:rPr>
                <w:rFonts w:ascii="Verdana" w:eastAsia="Times New Roman" w:hAnsi="Verdana" w:cs="Times New Roman"/>
                <w:sz w:val="18"/>
                <w:szCs w:val="18"/>
                <w:lang w:eastAsia="ru-RU"/>
              </w:rPr>
              <w:t>&lt; V</w:t>
            </w:r>
            <w:proofErr w:type="gramEnd"/>
            <w:r w:rsidRPr="001B6DCC">
              <w:rPr>
                <w:rFonts w:ascii="Verdana" w:eastAsia="Times New Roman" w:hAnsi="Verdana" w:cs="Times New Roman"/>
                <w:sz w:val="18"/>
                <w:szCs w:val="18"/>
                <w:lang w:eastAsia="ru-RU"/>
              </w:rPr>
              <w:t>  ≤ 20</w:t>
            </w:r>
          </w:p>
        </w:tc>
        <w:tc>
          <w:tcPr>
            <w:tcW w:w="2179"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15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 xml:space="preserve">3 </w:t>
            </w:r>
            <w:proofErr w:type="gramStart"/>
            <w:r w:rsidRPr="001B6DCC">
              <w:rPr>
                <w:rFonts w:ascii="Verdana" w:eastAsia="Times New Roman" w:hAnsi="Verdana" w:cs="Times New Roman"/>
                <w:sz w:val="18"/>
                <w:szCs w:val="18"/>
                <w:lang w:eastAsia="ru-RU"/>
              </w:rPr>
              <w:t>&lt; V</w:t>
            </w:r>
            <w:proofErr w:type="gramEnd"/>
            <w:r w:rsidRPr="001B6DCC">
              <w:rPr>
                <w:rFonts w:ascii="Verdana" w:eastAsia="Times New Roman" w:hAnsi="Verdana" w:cs="Times New Roman"/>
                <w:sz w:val="18"/>
                <w:szCs w:val="18"/>
                <w:lang w:eastAsia="ru-RU"/>
              </w:rPr>
              <w:t>  ≤ 10</w:t>
            </w:r>
          </w:p>
        </w:tc>
      </w:tr>
      <w:tr w:rsidR="001B6DCC" w:rsidRPr="001B6DCC" w:rsidTr="001B6DCC">
        <w:trPr>
          <w:tblCellSpacing w:w="7" w:type="dxa"/>
          <w:jc w:val="center"/>
        </w:trPr>
        <w:tc>
          <w:tcPr>
            <w:tcW w:w="2891"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15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Подъем или спуск в кресле с наклоном:</w:t>
            </w:r>
            <w:r w:rsidRPr="001B6DCC">
              <w:rPr>
                <w:rFonts w:ascii="Verdana" w:eastAsia="Times New Roman" w:hAnsi="Verdana" w:cs="Times New Roman"/>
                <w:sz w:val="18"/>
                <w:szCs w:val="18"/>
                <w:lang w:eastAsia="ru-RU"/>
              </w:rPr>
              <w:br/>
              <w:t>вперед</w:t>
            </w:r>
            <w:r w:rsidRPr="001B6DCC">
              <w:rPr>
                <w:rFonts w:ascii="Verdana" w:eastAsia="Times New Roman" w:hAnsi="Verdana" w:cs="Times New Roman"/>
                <w:sz w:val="18"/>
                <w:szCs w:val="18"/>
                <w:lang w:eastAsia="ru-RU"/>
              </w:rPr>
              <w:br/>
              <w:t>назад</w:t>
            </w:r>
            <w:r w:rsidRPr="001B6DCC">
              <w:rPr>
                <w:rFonts w:ascii="Verdana" w:eastAsia="Times New Roman" w:hAnsi="Verdana" w:cs="Times New Roman"/>
                <w:sz w:val="18"/>
                <w:szCs w:val="18"/>
                <w:lang w:eastAsia="ru-RU"/>
              </w:rPr>
              <w:br/>
              <w:t>набок</w:t>
            </w:r>
          </w:p>
        </w:tc>
        <w:tc>
          <w:tcPr>
            <w:tcW w:w="1548"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15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H (м)</w:t>
            </w:r>
            <w:r w:rsidRPr="001B6DCC">
              <w:rPr>
                <w:rFonts w:ascii="Verdana" w:eastAsia="Times New Roman" w:hAnsi="Verdana" w:cs="Times New Roman"/>
                <w:sz w:val="18"/>
                <w:szCs w:val="18"/>
                <w:lang w:eastAsia="ru-RU"/>
              </w:rPr>
              <w:br/>
            </w:r>
            <w:r w:rsidRPr="001B6DCC">
              <w:rPr>
                <w:rFonts w:ascii="Verdana" w:eastAsia="Times New Roman" w:hAnsi="Verdana" w:cs="Times New Roman"/>
                <w:sz w:val="18"/>
                <w:szCs w:val="18"/>
                <w:lang w:val="en-US" w:eastAsia="ru-RU"/>
              </w:rPr>
              <w:t>α</w:t>
            </w:r>
            <w:r w:rsidRPr="001B6DCC">
              <w:rPr>
                <w:rFonts w:ascii="Verdana" w:eastAsia="Times New Roman" w:hAnsi="Verdana" w:cs="Times New Roman"/>
                <w:sz w:val="18"/>
                <w:szCs w:val="18"/>
                <w:lang w:eastAsia="ru-RU"/>
              </w:rPr>
              <w:t> (°)</w:t>
            </w:r>
            <w:r w:rsidRPr="001B6DCC">
              <w:rPr>
                <w:rFonts w:ascii="Verdana" w:eastAsia="Times New Roman" w:hAnsi="Verdana" w:cs="Times New Roman"/>
                <w:sz w:val="18"/>
                <w:szCs w:val="18"/>
                <w:lang w:eastAsia="ru-RU"/>
              </w:rPr>
              <w:br/>
            </w:r>
            <w:r w:rsidRPr="001B6DCC">
              <w:rPr>
                <w:rFonts w:ascii="Verdana" w:eastAsia="Times New Roman" w:hAnsi="Verdana" w:cs="Times New Roman"/>
                <w:sz w:val="18"/>
                <w:szCs w:val="18"/>
                <w:lang w:val="en-US" w:eastAsia="ru-RU"/>
              </w:rPr>
              <w:t>β</w:t>
            </w:r>
            <w:r w:rsidRPr="001B6DCC">
              <w:rPr>
                <w:rFonts w:ascii="Verdana" w:eastAsia="Times New Roman" w:hAnsi="Verdana" w:cs="Times New Roman"/>
                <w:sz w:val="18"/>
                <w:szCs w:val="18"/>
                <w:lang w:eastAsia="ru-RU"/>
              </w:rPr>
              <w:t> (°)</w:t>
            </w:r>
            <w:r w:rsidRPr="001B6DCC">
              <w:rPr>
                <w:rFonts w:ascii="Verdana" w:eastAsia="Times New Roman" w:hAnsi="Verdana" w:cs="Times New Roman"/>
                <w:sz w:val="18"/>
                <w:szCs w:val="18"/>
                <w:lang w:eastAsia="ru-RU"/>
              </w:rPr>
              <w:br/>
            </w:r>
            <w:proofErr w:type="gramStart"/>
            <w:r w:rsidRPr="001B6DCC">
              <w:rPr>
                <w:rFonts w:ascii="Verdana" w:eastAsia="Times New Roman" w:hAnsi="Verdana" w:cs="Times New Roman"/>
                <w:sz w:val="18"/>
                <w:szCs w:val="18"/>
                <w:lang w:val="en-US" w:eastAsia="ru-RU"/>
              </w:rPr>
              <w:t>γ</w:t>
            </w:r>
            <w:r w:rsidRPr="001B6DCC">
              <w:rPr>
                <w:rFonts w:ascii="Verdana" w:eastAsia="Times New Roman" w:hAnsi="Verdana" w:cs="Times New Roman"/>
                <w:sz w:val="18"/>
                <w:szCs w:val="18"/>
                <w:lang w:eastAsia="ru-RU"/>
              </w:rPr>
              <w:t>  (</w:t>
            </w:r>
            <w:proofErr w:type="gramEnd"/>
            <w:r w:rsidRPr="001B6DCC">
              <w:rPr>
                <w:rFonts w:ascii="Verdana" w:eastAsia="Times New Roman" w:hAnsi="Verdana" w:cs="Times New Roman"/>
                <w:sz w:val="18"/>
                <w:szCs w:val="18"/>
                <w:lang w:eastAsia="ru-RU"/>
              </w:rPr>
              <w:t>°)</w:t>
            </w:r>
          </w:p>
        </w:tc>
        <w:tc>
          <w:tcPr>
            <w:tcW w:w="1972"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15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H ≥ 3</w:t>
            </w:r>
            <w:r w:rsidRPr="001B6DCC">
              <w:rPr>
                <w:rFonts w:ascii="Verdana" w:eastAsia="Times New Roman" w:hAnsi="Verdana" w:cs="Times New Roman"/>
                <w:sz w:val="18"/>
                <w:szCs w:val="18"/>
                <w:lang w:eastAsia="ru-RU"/>
              </w:rPr>
              <w:br/>
              <w:t xml:space="preserve">135 </w:t>
            </w:r>
            <w:proofErr w:type="gramStart"/>
            <w:r w:rsidRPr="001B6DCC">
              <w:rPr>
                <w:rFonts w:ascii="Verdana" w:eastAsia="Times New Roman" w:hAnsi="Verdana" w:cs="Times New Roman"/>
                <w:sz w:val="18"/>
                <w:szCs w:val="18"/>
                <w:lang w:eastAsia="ru-RU"/>
              </w:rPr>
              <w:t>&lt; </w:t>
            </w:r>
            <w:r w:rsidRPr="001B6DCC">
              <w:rPr>
                <w:rFonts w:ascii="Verdana" w:eastAsia="Times New Roman" w:hAnsi="Verdana" w:cs="Times New Roman"/>
                <w:sz w:val="18"/>
                <w:szCs w:val="18"/>
                <w:lang w:val="en-US" w:eastAsia="ru-RU"/>
              </w:rPr>
              <w:t>α</w:t>
            </w:r>
            <w:proofErr w:type="gramEnd"/>
            <w:r w:rsidRPr="001B6DCC">
              <w:rPr>
                <w:rFonts w:ascii="Verdana" w:eastAsia="Times New Roman" w:hAnsi="Verdana" w:cs="Times New Roman"/>
                <w:sz w:val="18"/>
                <w:szCs w:val="18"/>
                <w:lang w:eastAsia="ru-RU"/>
              </w:rPr>
              <w:t> ≤ 180</w:t>
            </w:r>
            <w:r w:rsidRPr="001B6DCC">
              <w:rPr>
                <w:rFonts w:ascii="Verdana" w:eastAsia="Times New Roman" w:hAnsi="Verdana" w:cs="Times New Roman"/>
                <w:sz w:val="18"/>
                <w:szCs w:val="18"/>
                <w:lang w:eastAsia="ru-RU"/>
              </w:rPr>
              <w:br/>
              <w:t>135 &lt;  </w:t>
            </w:r>
            <w:r w:rsidRPr="001B6DCC">
              <w:rPr>
                <w:rFonts w:ascii="Verdana" w:eastAsia="Times New Roman" w:hAnsi="Verdana" w:cs="Times New Roman"/>
                <w:sz w:val="18"/>
                <w:szCs w:val="18"/>
                <w:lang w:val="en-US" w:eastAsia="ru-RU"/>
              </w:rPr>
              <w:t>β</w:t>
            </w:r>
            <w:r w:rsidRPr="001B6DCC">
              <w:rPr>
                <w:rFonts w:ascii="Verdana" w:eastAsia="Times New Roman" w:hAnsi="Verdana" w:cs="Times New Roman"/>
                <w:sz w:val="18"/>
                <w:szCs w:val="18"/>
                <w:lang w:eastAsia="ru-RU"/>
              </w:rPr>
              <w:t>   ≤ 180</w:t>
            </w:r>
            <w:r w:rsidRPr="001B6DCC">
              <w:rPr>
                <w:rFonts w:ascii="Verdana" w:eastAsia="Times New Roman" w:hAnsi="Verdana" w:cs="Times New Roman"/>
                <w:sz w:val="18"/>
                <w:szCs w:val="18"/>
                <w:lang w:eastAsia="ru-RU"/>
              </w:rPr>
              <w:br/>
              <w:t>120 ≤ </w:t>
            </w:r>
            <w:r w:rsidRPr="001B6DCC">
              <w:rPr>
                <w:rFonts w:ascii="Verdana" w:eastAsia="Times New Roman" w:hAnsi="Verdana" w:cs="Times New Roman"/>
                <w:sz w:val="18"/>
                <w:szCs w:val="18"/>
                <w:lang w:val="en-US" w:eastAsia="ru-RU"/>
              </w:rPr>
              <w:t>γ</w:t>
            </w:r>
            <w:r w:rsidRPr="001B6DCC">
              <w:rPr>
                <w:rFonts w:ascii="Verdana" w:eastAsia="Times New Roman" w:hAnsi="Verdana" w:cs="Times New Roman"/>
                <w:sz w:val="18"/>
                <w:szCs w:val="18"/>
                <w:lang w:eastAsia="ru-RU"/>
              </w:rPr>
              <w:t> ≤ 180</w:t>
            </w:r>
          </w:p>
        </w:tc>
        <w:tc>
          <w:tcPr>
            <w:tcW w:w="1689"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15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 xml:space="preserve">2 ≤ H </w:t>
            </w:r>
            <w:proofErr w:type="gramStart"/>
            <w:r w:rsidRPr="001B6DCC">
              <w:rPr>
                <w:rFonts w:ascii="Verdana" w:eastAsia="Times New Roman" w:hAnsi="Verdana" w:cs="Times New Roman"/>
                <w:sz w:val="18"/>
                <w:szCs w:val="18"/>
                <w:lang w:eastAsia="ru-RU"/>
              </w:rPr>
              <w:t>&lt; 3</w:t>
            </w:r>
            <w:proofErr w:type="gramEnd"/>
            <w:r w:rsidRPr="001B6DCC">
              <w:rPr>
                <w:rFonts w:ascii="Verdana" w:eastAsia="Times New Roman" w:hAnsi="Verdana" w:cs="Times New Roman"/>
                <w:sz w:val="18"/>
                <w:szCs w:val="18"/>
                <w:lang w:eastAsia="ru-RU"/>
              </w:rPr>
              <w:br/>
              <w:t>45 &lt; </w:t>
            </w:r>
            <w:r w:rsidRPr="001B6DCC">
              <w:rPr>
                <w:rFonts w:ascii="Verdana" w:eastAsia="Times New Roman" w:hAnsi="Verdana" w:cs="Times New Roman"/>
                <w:sz w:val="18"/>
                <w:szCs w:val="18"/>
                <w:lang w:val="en-US" w:eastAsia="ru-RU"/>
              </w:rPr>
              <w:t>α</w:t>
            </w:r>
            <w:r w:rsidRPr="001B6DCC">
              <w:rPr>
                <w:rFonts w:ascii="Verdana" w:eastAsia="Times New Roman" w:hAnsi="Verdana" w:cs="Times New Roman"/>
                <w:sz w:val="18"/>
                <w:szCs w:val="18"/>
                <w:lang w:eastAsia="ru-RU"/>
              </w:rPr>
              <w:t> ≤ 135</w:t>
            </w:r>
            <w:r w:rsidRPr="001B6DCC">
              <w:rPr>
                <w:rFonts w:ascii="Verdana" w:eastAsia="Times New Roman" w:hAnsi="Verdana" w:cs="Times New Roman"/>
                <w:sz w:val="18"/>
                <w:szCs w:val="18"/>
                <w:lang w:eastAsia="ru-RU"/>
              </w:rPr>
              <w:br/>
              <w:t>105 &lt; </w:t>
            </w:r>
            <w:r w:rsidRPr="001B6DCC">
              <w:rPr>
                <w:rFonts w:ascii="Verdana" w:eastAsia="Times New Roman" w:hAnsi="Verdana" w:cs="Times New Roman"/>
                <w:sz w:val="18"/>
                <w:szCs w:val="18"/>
                <w:lang w:val="en-US" w:eastAsia="ru-RU"/>
              </w:rPr>
              <w:t>β</w:t>
            </w:r>
            <w:r w:rsidRPr="001B6DCC">
              <w:rPr>
                <w:rFonts w:ascii="Verdana" w:eastAsia="Times New Roman" w:hAnsi="Verdana" w:cs="Times New Roman"/>
                <w:sz w:val="18"/>
                <w:szCs w:val="18"/>
                <w:lang w:eastAsia="ru-RU"/>
              </w:rPr>
              <w:t> ≤ 135</w:t>
            </w:r>
            <w:r w:rsidRPr="001B6DCC">
              <w:rPr>
                <w:rFonts w:ascii="Verdana" w:eastAsia="Times New Roman" w:hAnsi="Verdana" w:cs="Times New Roman"/>
                <w:sz w:val="18"/>
                <w:szCs w:val="18"/>
                <w:lang w:eastAsia="ru-RU"/>
              </w:rPr>
              <w:br/>
              <w:t>60 ≤ </w:t>
            </w:r>
            <w:r w:rsidRPr="001B6DCC">
              <w:rPr>
                <w:rFonts w:ascii="Verdana" w:eastAsia="Times New Roman" w:hAnsi="Verdana" w:cs="Times New Roman"/>
                <w:sz w:val="18"/>
                <w:szCs w:val="18"/>
                <w:lang w:val="en-US" w:eastAsia="ru-RU"/>
              </w:rPr>
              <w:t>γ </w:t>
            </w:r>
            <w:r w:rsidRPr="001B6DCC">
              <w:rPr>
                <w:rFonts w:ascii="Verdana" w:eastAsia="Times New Roman" w:hAnsi="Verdana" w:cs="Times New Roman"/>
                <w:sz w:val="18"/>
                <w:szCs w:val="18"/>
                <w:lang w:eastAsia="ru-RU"/>
              </w:rPr>
              <w:t>≤ 120</w:t>
            </w:r>
          </w:p>
        </w:tc>
        <w:tc>
          <w:tcPr>
            <w:tcW w:w="2179" w:type="dxa"/>
            <w:tcBorders>
              <w:top w:val="single" w:sz="8" w:space="0" w:color="auto"/>
              <w:left w:val="single" w:sz="8" w:space="0" w:color="auto"/>
              <w:bottom w:val="single" w:sz="8" w:space="0" w:color="auto"/>
              <w:right w:val="single" w:sz="8" w:space="0" w:color="auto"/>
            </w:tcBorders>
            <w:tcMar>
              <w:top w:w="12" w:type="dxa"/>
              <w:left w:w="12" w:type="dxa"/>
              <w:bottom w:w="12" w:type="dxa"/>
              <w:right w:w="12" w:type="dxa"/>
            </w:tcMar>
            <w:vAlign w:val="center"/>
            <w:hideMark/>
          </w:tcPr>
          <w:p w:rsidR="001B6DCC" w:rsidRPr="001B6DCC" w:rsidRDefault="001B6DCC" w:rsidP="001B6DCC">
            <w:pPr>
              <w:spacing w:after="150" w:line="240" w:lineRule="auto"/>
              <w:jc w:val="center"/>
              <w:rPr>
                <w:rFonts w:ascii="Verdana" w:eastAsia="Times New Roman" w:hAnsi="Verdana" w:cs="Times New Roman"/>
                <w:sz w:val="17"/>
                <w:szCs w:val="17"/>
                <w:lang w:eastAsia="ru-RU"/>
              </w:rPr>
            </w:pPr>
            <w:r w:rsidRPr="001B6DCC">
              <w:rPr>
                <w:rFonts w:ascii="Verdana" w:eastAsia="Times New Roman" w:hAnsi="Verdana" w:cs="Times New Roman"/>
                <w:sz w:val="18"/>
                <w:szCs w:val="18"/>
                <w:lang w:eastAsia="ru-RU"/>
              </w:rPr>
              <w:t xml:space="preserve">0,4 </w:t>
            </w:r>
            <w:proofErr w:type="gramStart"/>
            <w:r w:rsidRPr="001B6DCC">
              <w:rPr>
                <w:rFonts w:ascii="Verdana" w:eastAsia="Times New Roman" w:hAnsi="Verdana" w:cs="Times New Roman"/>
                <w:sz w:val="18"/>
                <w:szCs w:val="18"/>
                <w:lang w:eastAsia="ru-RU"/>
              </w:rPr>
              <w:t>&lt; H</w:t>
            </w:r>
            <w:proofErr w:type="gramEnd"/>
            <w:r w:rsidRPr="001B6DCC">
              <w:rPr>
                <w:rFonts w:ascii="Verdana" w:eastAsia="Times New Roman" w:hAnsi="Verdana" w:cs="Times New Roman"/>
                <w:sz w:val="18"/>
                <w:szCs w:val="18"/>
                <w:lang w:eastAsia="ru-RU"/>
              </w:rPr>
              <w:t> ≤ 2</w:t>
            </w:r>
            <w:r w:rsidRPr="001B6DCC">
              <w:rPr>
                <w:rFonts w:ascii="Verdana" w:eastAsia="Times New Roman" w:hAnsi="Verdana" w:cs="Times New Roman"/>
                <w:sz w:val="18"/>
                <w:szCs w:val="18"/>
                <w:lang w:eastAsia="ru-RU"/>
              </w:rPr>
              <w:br/>
              <w:t>10 &lt; </w:t>
            </w:r>
            <w:r w:rsidRPr="001B6DCC">
              <w:rPr>
                <w:rFonts w:ascii="Verdana" w:eastAsia="Times New Roman" w:hAnsi="Verdana" w:cs="Times New Roman"/>
                <w:sz w:val="18"/>
                <w:szCs w:val="18"/>
                <w:lang w:val="en-US" w:eastAsia="ru-RU"/>
              </w:rPr>
              <w:t>α</w:t>
            </w:r>
            <w:r w:rsidRPr="001B6DCC">
              <w:rPr>
                <w:rFonts w:ascii="Verdana" w:eastAsia="Times New Roman" w:hAnsi="Verdana" w:cs="Times New Roman"/>
                <w:sz w:val="18"/>
                <w:szCs w:val="18"/>
                <w:lang w:eastAsia="ru-RU"/>
              </w:rPr>
              <w:t> ≤ 45</w:t>
            </w:r>
            <w:r w:rsidRPr="001B6DCC">
              <w:rPr>
                <w:rFonts w:ascii="Verdana" w:eastAsia="Times New Roman" w:hAnsi="Verdana" w:cs="Times New Roman"/>
                <w:sz w:val="18"/>
                <w:szCs w:val="18"/>
                <w:lang w:eastAsia="ru-RU"/>
              </w:rPr>
              <w:br/>
              <w:t>95 &lt; </w:t>
            </w:r>
            <w:r w:rsidRPr="001B6DCC">
              <w:rPr>
                <w:rFonts w:ascii="Verdana" w:eastAsia="Times New Roman" w:hAnsi="Verdana" w:cs="Times New Roman"/>
                <w:sz w:val="18"/>
                <w:szCs w:val="18"/>
                <w:lang w:val="en-US" w:eastAsia="ru-RU"/>
              </w:rPr>
              <w:t>β</w:t>
            </w:r>
            <w:r w:rsidRPr="001B6DCC">
              <w:rPr>
                <w:rFonts w:ascii="Verdana" w:eastAsia="Times New Roman" w:hAnsi="Verdana" w:cs="Times New Roman"/>
                <w:sz w:val="18"/>
                <w:szCs w:val="18"/>
                <w:lang w:eastAsia="ru-RU"/>
              </w:rPr>
              <w:t> ≤ 105</w:t>
            </w:r>
            <w:r w:rsidRPr="001B6DCC">
              <w:rPr>
                <w:rFonts w:ascii="Verdana" w:eastAsia="Times New Roman" w:hAnsi="Verdana" w:cs="Times New Roman"/>
                <w:sz w:val="18"/>
                <w:szCs w:val="18"/>
                <w:lang w:eastAsia="ru-RU"/>
              </w:rPr>
              <w:br/>
              <w:t>30 &lt; </w:t>
            </w:r>
            <w:r w:rsidRPr="001B6DCC">
              <w:rPr>
                <w:rFonts w:ascii="Verdana" w:eastAsia="Times New Roman" w:hAnsi="Verdana" w:cs="Times New Roman"/>
                <w:sz w:val="18"/>
                <w:szCs w:val="18"/>
                <w:lang w:val="en-US" w:eastAsia="ru-RU"/>
              </w:rPr>
              <w:t>γ</w:t>
            </w:r>
            <w:r w:rsidRPr="001B6DCC">
              <w:rPr>
                <w:rFonts w:ascii="Verdana" w:eastAsia="Times New Roman" w:hAnsi="Verdana" w:cs="Times New Roman"/>
                <w:sz w:val="18"/>
                <w:szCs w:val="18"/>
                <w:lang w:eastAsia="ru-RU"/>
              </w:rPr>
              <w:t> ≤ 60</w:t>
            </w:r>
          </w:p>
        </w:tc>
      </w:tr>
    </w:tbl>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t>При определении степени потенциального биомеханического риска аттракциона выбираются показатели с максимальными значениями.</w:t>
      </w:r>
    </w:p>
    <w:p w:rsidR="001B6DCC" w:rsidRPr="001B6DCC" w:rsidRDefault="001B6DCC" w:rsidP="001B6DCC">
      <w:pPr>
        <w:shd w:val="clear" w:color="auto" w:fill="FFFFFF"/>
        <w:spacing w:after="150" w:line="240" w:lineRule="auto"/>
        <w:jc w:val="center"/>
        <w:rPr>
          <w:rFonts w:ascii="Verdana" w:eastAsia="Times New Roman" w:hAnsi="Verdana" w:cs="Times New Roman"/>
          <w:color w:val="000000"/>
          <w:sz w:val="17"/>
          <w:szCs w:val="17"/>
          <w:lang w:eastAsia="ru-RU"/>
        </w:rPr>
      </w:pPr>
      <w:r w:rsidRPr="001B6DCC">
        <w:rPr>
          <w:rFonts w:ascii="Verdana" w:eastAsia="Times New Roman" w:hAnsi="Verdana" w:cs="Times New Roman"/>
          <w:b/>
          <w:bCs/>
          <w:color w:val="000000"/>
          <w:sz w:val="18"/>
          <w:szCs w:val="18"/>
          <w:lang w:eastAsia="ru-RU"/>
        </w:rPr>
        <w:t>Как зарегистрировать аттракцион?</w:t>
      </w:r>
    </w:p>
    <w:p w:rsidR="005F5047" w:rsidRDefault="001B6DCC" w:rsidP="001B6DCC">
      <w:pPr>
        <w:shd w:val="clear" w:color="auto" w:fill="FFFFFF"/>
        <w:spacing w:after="150" w:line="240" w:lineRule="auto"/>
        <w:jc w:val="both"/>
        <w:rPr>
          <w:rFonts w:ascii="Verdana" w:eastAsia="Times New Roman" w:hAnsi="Verdana" w:cs="Times New Roman"/>
          <w:color w:val="000000"/>
          <w:sz w:val="18"/>
          <w:szCs w:val="18"/>
          <w:lang w:eastAsia="ru-RU"/>
        </w:rPr>
      </w:pPr>
      <w:r w:rsidRPr="001B6DCC">
        <w:rPr>
          <w:rFonts w:ascii="Verdana" w:eastAsia="Times New Roman" w:hAnsi="Verdana" w:cs="Times New Roman"/>
          <w:color w:val="000000"/>
          <w:sz w:val="18"/>
          <w:szCs w:val="18"/>
          <w:lang w:eastAsia="ru-RU"/>
        </w:rPr>
        <w:t xml:space="preserve">Для государственной регистрации аттракциона необходимо подготовить комплект документов и обратиться с заявлением в управление Гостехнадзора </w:t>
      </w:r>
      <w:r w:rsidR="005F5047">
        <w:rPr>
          <w:rFonts w:ascii="Verdana" w:eastAsia="Times New Roman" w:hAnsi="Verdana" w:cs="Times New Roman"/>
          <w:color w:val="000000"/>
          <w:sz w:val="18"/>
          <w:szCs w:val="18"/>
          <w:lang w:eastAsia="ru-RU"/>
        </w:rPr>
        <w:t xml:space="preserve">Минтранса РД </w:t>
      </w:r>
      <w:r w:rsidRPr="001B6DCC">
        <w:rPr>
          <w:rFonts w:ascii="Verdana" w:eastAsia="Times New Roman" w:hAnsi="Verdana" w:cs="Times New Roman"/>
          <w:color w:val="000000"/>
          <w:sz w:val="18"/>
          <w:szCs w:val="18"/>
          <w:lang w:eastAsia="ru-RU"/>
        </w:rPr>
        <w:t xml:space="preserve">по адресу: г. </w:t>
      </w:r>
      <w:r w:rsidR="005F5047">
        <w:rPr>
          <w:rFonts w:ascii="Verdana" w:eastAsia="Times New Roman" w:hAnsi="Verdana" w:cs="Times New Roman"/>
          <w:color w:val="000000"/>
          <w:sz w:val="18"/>
          <w:szCs w:val="18"/>
          <w:lang w:eastAsia="ru-RU"/>
        </w:rPr>
        <w:t>Махачкала</w:t>
      </w:r>
      <w:r w:rsidRPr="001B6DCC">
        <w:rPr>
          <w:rFonts w:ascii="Verdana" w:eastAsia="Times New Roman" w:hAnsi="Verdana" w:cs="Times New Roman"/>
          <w:color w:val="000000"/>
          <w:sz w:val="18"/>
          <w:szCs w:val="18"/>
          <w:lang w:eastAsia="ru-RU"/>
        </w:rPr>
        <w:t xml:space="preserve">, </w:t>
      </w:r>
      <w:r w:rsidR="005F5047">
        <w:rPr>
          <w:rFonts w:ascii="Verdana" w:eastAsia="Times New Roman" w:hAnsi="Verdana" w:cs="Times New Roman"/>
          <w:color w:val="000000"/>
          <w:sz w:val="18"/>
          <w:szCs w:val="18"/>
          <w:lang w:eastAsia="ru-RU"/>
        </w:rPr>
        <w:t>пр</w:t>
      </w:r>
      <w:r w:rsidRPr="001B6DCC">
        <w:rPr>
          <w:rFonts w:ascii="Verdana" w:eastAsia="Times New Roman" w:hAnsi="Verdana" w:cs="Times New Roman"/>
          <w:color w:val="000000"/>
          <w:sz w:val="18"/>
          <w:szCs w:val="18"/>
          <w:lang w:eastAsia="ru-RU"/>
        </w:rPr>
        <w:t xml:space="preserve">. </w:t>
      </w:r>
      <w:r w:rsidR="005F5047">
        <w:rPr>
          <w:rFonts w:ascii="Verdana" w:eastAsia="Times New Roman" w:hAnsi="Verdana" w:cs="Times New Roman"/>
          <w:color w:val="000000"/>
          <w:sz w:val="18"/>
          <w:szCs w:val="18"/>
          <w:lang w:eastAsia="ru-RU"/>
        </w:rPr>
        <w:t>И. Шамиля д. 16 а</w:t>
      </w:r>
      <w:r w:rsidRPr="001B6DCC">
        <w:rPr>
          <w:rFonts w:ascii="Verdana" w:eastAsia="Times New Roman" w:hAnsi="Verdana" w:cs="Times New Roman"/>
          <w:color w:val="000000"/>
          <w:sz w:val="18"/>
          <w:szCs w:val="18"/>
          <w:lang w:eastAsia="ru-RU"/>
        </w:rPr>
        <w:t xml:space="preserve">. </w:t>
      </w:r>
    </w:p>
    <w:p w:rsidR="005F5047" w:rsidRDefault="005F5047" w:rsidP="001B6DCC">
      <w:pPr>
        <w:shd w:val="clear" w:color="auto" w:fill="FFFFFF"/>
        <w:spacing w:after="150" w:line="240" w:lineRule="auto"/>
        <w:jc w:val="both"/>
        <w:rPr>
          <w:rFonts w:ascii="Verdana" w:eastAsia="Times New Roman" w:hAnsi="Verdana" w:cs="Times New Roman"/>
          <w:color w:val="000000"/>
          <w:sz w:val="18"/>
          <w:szCs w:val="18"/>
          <w:lang w:eastAsia="ru-RU"/>
        </w:rPr>
      </w:pP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t>Предоставление государственной услуги состоит из трех административных процедур:</w:t>
      </w:r>
    </w:p>
    <w:p w:rsidR="001B6DCC" w:rsidRPr="001B6DCC" w:rsidRDefault="001B6DCC" w:rsidP="001B6DCC">
      <w:pPr>
        <w:shd w:val="clear" w:color="auto" w:fill="FFFFFF"/>
        <w:spacing w:after="150" w:line="240" w:lineRule="auto"/>
        <w:ind w:left="720" w:hanging="360"/>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t>1.   Прием и проверка документов;</w:t>
      </w:r>
    </w:p>
    <w:p w:rsidR="001B6DCC" w:rsidRPr="001B6DCC" w:rsidRDefault="001B6DCC" w:rsidP="001B6DCC">
      <w:pPr>
        <w:shd w:val="clear" w:color="auto" w:fill="FFFFFF"/>
        <w:spacing w:after="150" w:line="240" w:lineRule="auto"/>
        <w:ind w:left="720" w:hanging="360"/>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t>2.   Осмотр аттракциона;</w:t>
      </w:r>
    </w:p>
    <w:p w:rsidR="001B6DCC" w:rsidRPr="001B6DCC" w:rsidRDefault="001B6DCC" w:rsidP="001B6DCC">
      <w:pPr>
        <w:shd w:val="clear" w:color="auto" w:fill="FFFFFF"/>
        <w:spacing w:after="150" w:line="240" w:lineRule="auto"/>
        <w:ind w:left="720" w:hanging="360"/>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t>3.   Государственная регистрация аттракциона.</w:t>
      </w:r>
    </w:p>
    <w:p w:rsidR="001B6DCC" w:rsidRPr="001B6DCC" w:rsidRDefault="001B6DCC" w:rsidP="001B6DCC">
      <w:pPr>
        <w:shd w:val="clear" w:color="auto" w:fill="FFFFFF"/>
        <w:spacing w:after="150" w:line="240" w:lineRule="auto"/>
        <w:rPr>
          <w:rFonts w:ascii="Verdana" w:eastAsia="Times New Roman" w:hAnsi="Verdana" w:cs="Times New Roman"/>
          <w:color w:val="000000"/>
          <w:sz w:val="17"/>
          <w:szCs w:val="17"/>
          <w:lang w:eastAsia="ru-RU"/>
        </w:rPr>
      </w:pPr>
      <w:r w:rsidRPr="001B6DCC">
        <w:rPr>
          <w:rFonts w:ascii="Verdana" w:eastAsia="Times New Roman" w:hAnsi="Verdana" w:cs="Times New Roman"/>
          <w:b/>
          <w:bCs/>
          <w:color w:val="000000"/>
          <w:sz w:val="18"/>
          <w:szCs w:val="18"/>
          <w:lang w:eastAsia="ru-RU"/>
        </w:rPr>
        <w:t>Прием и проверка документов.</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t>Пунктом 18 Правил определен перечень документов, необходимых для государственной регистрации аттракциона:</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b/>
          <w:bCs/>
          <w:color w:val="000000"/>
          <w:sz w:val="18"/>
          <w:szCs w:val="18"/>
          <w:lang w:eastAsia="ru-RU"/>
        </w:rPr>
        <w:lastRenderedPageBreak/>
        <w:t>а) заявление по форме</w:t>
      </w:r>
      <w:r w:rsidRPr="001B6DCC">
        <w:rPr>
          <w:rFonts w:ascii="Verdana" w:eastAsia="Times New Roman" w:hAnsi="Verdana" w:cs="Times New Roman"/>
          <w:color w:val="000000"/>
          <w:sz w:val="18"/>
          <w:szCs w:val="18"/>
          <w:lang w:eastAsia="ru-RU"/>
        </w:rPr>
        <w:t>, </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b/>
          <w:bCs/>
          <w:color w:val="000000"/>
          <w:sz w:val="18"/>
          <w:szCs w:val="18"/>
          <w:lang w:eastAsia="ru-RU"/>
        </w:rPr>
        <w:t>б) документ, удостоверяющий личность эксплуатанта или его представителя</w:t>
      </w:r>
      <w:r w:rsidRPr="001B6DCC">
        <w:rPr>
          <w:rFonts w:ascii="Verdana" w:eastAsia="Times New Roman" w:hAnsi="Verdana" w:cs="Times New Roman"/>
          <w:color w:val="000000"/>
          <w:sz w:val="18"/>
          <w:szCs w:val="18"/>
          <w:lang w:eastAsia="ru-RU"/>
        </w:rPr>
        <w:t> (предъявляется при подаче заявления - паспорт заявителя (представителя) или документ его заменяющий.);</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b/>
          <w:bCs/>
          <w:color w:val="000000"/>
          <w:sz w:val="18"/>
          <w:szCs w:val="18"/>
          <w:lang w:eastAsia="ru-RU"/>
        </w:rPr>
        <w:t>в) документ, подтверждающий полномочия представителя эксплуатанта</w:t>
      </w:r>
      <w:r w:rsidRPr="001B6DCC">
        <w:rPr>
          <w:rFonts w:ascii="Verdana" w:eastAsia="Times New Roman" w:hAnsi="Verdana" w:cs="Times New Roman"/>
          <w:color w:val="000000"/>
          <w:sz w:val="18"/>
          <w:szCs w:val="18"/>
          <w:lang w:eastAsia="ru-RU"/>
        </w:rPr>
        <w:t> (доверенность на совершение юридически значимых действий в отношении аттракциона необходима в случае</w:t>
      </w:r>
      <w:r w:rsidR="008B2CAC">
        <w:rPr>
          <w:rFonts w:ascii="Verdana" w:eastAsia="Times New Roman" w:hAnsi="Verdana" w:cs="Times New Roman"/>
          <w:color w:val="000000"/>
          <w:sz w:val="18"/>
          <w:szCs w:val="18"/>
          <w:lang w:eastAsia="ru-RU"/>
        </w:rPr>
        <w:t>,</w:t>
      </w:r>
      <w:r w:rsidRPr="001B6DCC">
        <w:rPr>
          <w:rFonts w:ascii="Verdana" w:eastAsia="Times New Roman" w:hAnsi="Verdana" w:cs="Times New Roman"/>
          <w:color w:val="000000"/>
          <w:sz w:val="18"/>
          <w:szCs w:val="18"/>
          <w:lang w:eastAsia="ru-RU"/>
        </w:rPr>
        <w:t xml:space="preserve"> если документы подаются представителем);</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b/>
          <w:bCs/>
          <w:color w:val="000000"/>
          <w:sz w:val="18"/>
          <w:szCs w:val="18"/>
          <w:lang w:eastAsia="ru-RU"/>
        </w:rPr>
        <w:t>г) документ, подтверждающий право эксплуатанта на использование аттракциона</w:t>
      </w:r>
      <w:r w:rsidRPr="001B6DCC">
        <w:rPr>
          <w:rFonts w:ascii="Verdana" w:eastAsia="Times New Roman" w:hAnsi="Verdana" w:cs="Times New Roman"/>
          <w:color w:val="000000"/>
          <w:sz w:val="18"/>
          <w:szCs w:val="18"/>
          <w:lang w:eastAsia="ru-RU"/>
        </w:rPr>
        <w:t> (документ, подтверждающий право собственности или иное законное основание владения и пользования аттракционом, к примеру, это могут быть:</w:t>
      </w:r>
    </w:p>
    <w:p w:rsidR="001B6DCC" w:rsidRPr="001B6DCC" w:rsidRDefault="001B6DCC" w:rsidP="001B6DCC">
      <w:pPr>
        <w:numPr>
          <w:ilvl w:val="0"/>
          <w:numId w:val="15"/>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w:t>
      </w:r>
    </w:p>
    <w:p w:rsidR="001B6DCC" w:rsidRPr="001B6DCC" w:rsidRDefault="001B6DCC" w:rsidP="001B6DCC">
      <w:pPr>
        <w:numPr>
          <w:ilvl w:val="0"/>
          <w:numId w:val="15"/>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договоры и другие сделки в отношении аттракциона, совершенные в соответствии с законодательством, действовавшим в месте расположения объектов движимого имущества на момент совершения сделки;</w:t>
      </w:r>
    </w:p>
    <w:p w:rsidR="001B6DCC" w:rsidRPr="001B6DCC" w:rsidRDefault="001B6DCC" w:rsidP="001B6DCC">
      <w:pPr>
        <w:numPr>
          <w:ilvl w:val="0"/>
          <w:numId w:val="15"/>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свидетельства о праве на наследство;</w:t>
      </w:r>
    </w:p>
    <w:p w:rsidR="001B6DCC" w:rsidRPr="001B6DCC" w:rsidRDefault="001B6DCC" w:rsidP="001B6DCC">
      <w:pPr>
        <w:numPr>
          <w:ilvl w:val="0"/>
          <w:numId w:val="15"/>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вступившие в законную силу судебные акты;</w:t>
      </w:r>
    </w:p>
    <w:p w:rsidR="001B6DCC" w:rsidRPr="001B6DCC" w:rsidRDefault="001B6DCC" w:rsidP="001B6DCC">
      <w:pPr>
        <w:numPr>
          <w:ilvl w:val="0"/>
          <w:numId w:val="15"/>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акты (свидетельства) о правах на аттракцион,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p w:rsidR="001B6DCC" w:rsidRPr="001B6DCC" w:rsidRDefault="001B6DCC" w:rsidP="001B6DCC">
      <w:pPr>
        <w:numPr>
          <w:ilvl w:val="0"/>
          <w:numId w:val="15"/>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иные акты передачи прав на аттракцион и сделок с ним в соответствии с законодательством, действовавшим в месте передачи на момент ее совершения;</w:t>
      </w:r>
    </w:p>
    <w:p w:rsidR="001B6DCC" w:rsidRPr="001B6DCC" w:rsidRDefault="001B6DCC" w:rsidP="001B6DCC">
      <w:pPr>
        <w:numPr>
          <w:ilvl w:val="0"/>
          <w:numId w:val="15"/>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иные документы, которые в соответствии с законодательством Российской Федерации подтверждают наличие, возникновение, переход прав на аттракцион.);</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b/>
          <w:bCs/>
          <w:color w:val="000000"/>
          <w:sz w:val="18"/>
          <w:szCs w:val="18"/>
          <w:lang w:eastAsia="ru-RU"/>
        </w:rPr>
        <w:t>д) паспорт или формуляр аттракциона</w:t>
      </w:r>
      <w:r w:rsidRPr="001B6DCC">
        <w:rPr>
          <w:rFonts w:ascii="Verdana" w:eastAsia="Times New Roman" w:hAnsi="Verdana" w:cs="Times New Roman"/>
          <w:color w:val="000000"/>
          <w:sz w:val="18"/>
          <w:szCs w:val="18"/>
          <w:lang w:eastAsia="ru-RU"/>
        </w:rPr>
        <w:t> (Разрабатывается, утверждается и выдается изготовителем аттракциона. В случае утраты документа дубликат может быть выдан изготовителем, либо специализированной организацией. Требования к содержанию документа определены приложениями 5, 6 ТР ЕАЭС 038/2016);</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b/>
          <w:bCs/>
          <w:color w:val="000000"/>
          <w:sz w:val="18"/>
          <w:szCs w:val="18"/>
          <w:lang w:eastAsia="ru-RU"/>
        </w:rPr>
        <w:t>е) руководство по эксплуатации аттракциона</w:t>
      </w:r>
      <w:r w:rsidRPr="001B6DCC">
        <w:rPr>
          <w:rFonts w:ascii="Verdana" w:eastAsia="Times New Roman" w:hAnsi="Verdana" w:cs="Times New Roman"/>
          <w:color w:val="000000"/>
          <w:sz w:val="18"/>
          <w:szCs w:val="18"/>
          <w:lang w:eastAsia="ru-RU"/>
        </w:rPr>
        <w:t> (Разрабатывается, утверждается и выдается изготовителем аттракциона. В случае утраты документа дубликат может быть выдан изготовителем, либо специализированной организацией. Требования к содержанию документа определены пунктом 54 ТР ЕАЭС 038/2016);</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b/>
          <w:bCs/>
          <w:color w:val="000000"/>
          <w:sz w:val="18"/>
          <w:szCs w:val="18"/>
          <w:lang w:eastAsia="ru-RU"/>
        </w:rPr>
        <w:t>ж) руководство по техническому обслуживанию и ремонту аттракциона</w:t>
      </w:r>
      <w:r w:rsidRPr="001B6DCC">
        <w:rPr>
          <w:rFonts w:ascii="Verdana" w:eastAsia="Times New Roman" w:hAnsi="Verdana" w:cs="Times New Roman"/>
          <w:color w:val="000000"/>
          <w:sz w:val="18"/>
          <w:szCs w:val="18"/>
          <w:lang w:eastAsia="ru-RU"/>
        </w:rPr>
        <w:t> (Разрабатывается, утверждается и выдается изготовителем аттракциона. В случае утраты документа дубликат может быть выдан изготовителем, либо специализированной организацией. Требования к содержанию документа определены пунктом 55 ТР ЕАЭС 038/2016);</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b/>
          <w:bCs/>
          <w:color w:val="000000"/>
          <w:sz w:val="18"/>
          <w:szCs w:val="18"/>
          <w:lang w:eastAsia="ru-RU"/>
        </w:rPr>
        <w:t>з) заверенные эксплуатантом копии журналов, обеспечивающих учет выполнения требований по эксплуатации, а также техническому обслуживанию и ремонту аттракциона</w:t>
      </w:r>
      <w:r w:rsidRPr="001B6DCC">
        <w:rPr>
          <w:rFonts w:ascii="Verdana" w:eastAsia="Times New Roman" w:hAnsi="Verdana" w:cs="Times New Roman"/>
          <w:color w:val="000000"/>
          <w:sz w:val="18"/>
          <w:szCs w:val="18"/>
          <w:lang w:eastAsia="ru-RU"/>
        </w:rPr>
        <w:t> (для аттракционов, ранее находившихся в эксплуатации, - за период не менее чем 12 месяцев до дня подачи заявления, а если аттракцион эксплуатировался менее 12 месяцев, - за период эксплуатации аттракциона. Образец журналов можно взять из ГОСТ 33807-2016, для надувных батутов из ГОСТ 55515-2013, для зимних горок ГОСТ 56987-2016;</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b/>
          <w:bCs/>
          <w:color w:val="000000"/>
          <w:sz w:val="18"/>
          <w:szCs w:val="18"/>
          <w:lang w:eastAsia="ru-RU"/>
        </w:rPr>
        <w:t>и) копия сертификата соответствия или декларации о соответствии</w:t>
      </w:r>
      <w:r w:rsidRPr="001B6DCC">
        <w:rPr>
          <w:rFonts w:ascii="Verdana" w:eastAsia="Times New Roman" w:hAnsi="Verdana" w:cs="Times New Roman"/>
          <w:color w:val="000000"/>
          <w:sz w:val="18"/>
          <w:szCs w:val="18"/>
          <w:lang w:eastAsia="ru-RU"/>
        </w:rPr>
        <w:t> (для аттракционов, выпущенных в обращение после 1 сентября 2016 г., - обязательно, для остальных - при наличии. Для аттракционов со степенью потенциального биомеханического риска RB-1 необходим сертификат соответствия, со степенями RB-2, RB-3 должна быть декларация о соответствии);</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b/>
          <w:bCs/>
          <w:color w:val="000000"/>
          <w:sz w:val="18"/>
          <w:szCs w:val="18"/>
          <w:lang w:eastAsia="ru-RU"/>
        </w:rPr>
        <w:t>к) заверенные эксплуатантом копии документов о приемке аттракциона после завершения монтажа (сборки, установки), включающие информацию о проведении приемо-сдаточных испытаний, наладке и регулировке, а также об организации внутреннего контроля и назначении работников, отвечающих за безопасную эксплуатацию аттракциона</w:t>
      </w:r>
      <w:r w:rsidRPr="001B6DCC">
        <w:rPr>
          <w:rFonts w:ascii="Verdana" w:eastAsia="Times New Roman" w:hAnsi="Verdana" w:cs="Times New Roman"/>
          <w:color w:val="000000"/>
          <w:sz w:val="18"/>
          <w:szCs w:val="18"/>
          <w:lang w:eastAsia="ru-RU"/>
        </w:rPr>
        <w:t>;</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b/>
          <w:bCs/>
          <w:color w:val="000000"/>
          <w:sz w:val="18"/>
          <w:szCs w:val="18"/>
          <w:lang w:eastAsia="ru-RU"/>
        </w:rPr>
        <w:t>л) акт оценки технического состояния аттракциона (технического освидетельствования), подтверждающий соответствие аттракциона перечню требований к техническому состоянию и эксплуатации аттракционов, выданный специализированной организацией после завершения монтажа (сборки, установки) аттракциона, со дня выдачи которого прошло не более 12 месяцев</w:t>
      </w:r>
      <w:r w:rsidRPr="001B6DCC">
        <w:rPr>
          <w:rFonts w:ascii="Verdana" w:eastAsia="Times New Roman" w:hAnsi="Verdana" w:cs="Times New Roman"/>
          <w:color w:val="000000"/>
          <w:sz w:val="18"/>
          <w:szCs w:val="18"/>
          <w:lang w:eastAsia="ru-RU"/>
        </w:rPr>
        <w:t>;</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lastRenderedPageBreak/>
        <w:t>м) сведения о маршруте движения аттракциона (</w:t>
      </w:r>
      <w:r w:rsidRPr="001B6DCC">
        <w:rPr>
          <w:rFonts w:ascii="Verdana" w:eastAsia="Times New Roman" w:hAnsi="Verdana" w:cs="Times New Roman"/>
          <w:b/>
          <w:bCs/>
          <w:color w:val="000000"/>
          <w:sz w:val="18"/>
          <w:szCs w:val="18"/>
          <w:lang w:eastAsia="ru-RU"/>
        </w:rPr>
        <w:t>для самоходных аттракционов, передвигающихся по установленному маршруту</w:t>
      </w:r>
      <w:r w:rsidRPr="001B6DCC">
        <w:rPr>
          <w:rFonts w:ascii="Verdana" w:eastAsia="Times New Roman" w:hAnsi="Verdana" w:cs="Times New Roman"/>
          <w:color w:val="000000"/>
          <w:sz w:val="18"/>
          <w:szCs w:val="18"/>
          <w:lang w:eastAsia="ru-RU"/>
        </w:rPr>
        <w:t>);</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b/>
          <w:bCs/>
          <w:color w:val="000000"/>
          <w:sz w:val="18"/>
          <w:szCs w:val="18"/>
          <w:lang w:eastAsia="ru-RU"/>
        </w:rPr>
        <w:t>н) выданное специализированной организацией по результатам обследования заключение, содержащее условия и возможный срок продления эксплуатации аттракциона</w:t>
      </w:r>
      <w:r w:rsidRPr="001B6DCC">
        <w:rPr>
          <w:rFonts w:ascii="Verdana" w:eastAsia="Times New Roman" w:hAnsi="Verdana" w:cs="Times New Roman"/>
          <w:color w:val="000000"/>
          <w:sz w:val="18"/>
          <w:szCs w:val="18"/>
          <w:lang w:eastAsia="ru-RU"/>
        </w:rPr>
        <w:t> (для аттракциона, у которого истек назначенный срок службы или назначенный ресурс, установленный проектировщиком, заводом-изготовителем, либо срок, установленный в ранее выданном специализированной организацией по результатам обследования заключении);</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t>о) копия страхового полиса страхования гражданской ответственности владельца аттракциона за причинение вреда жизни и (или) здоровью физических лиц, имуществу физических или юридических лиц, государственному или муниципальному имуществу, окружающей среде при эксплуатации аттракциона (</w:t>
      </w:r>
      <w:r w:rsidRPr="001B6DCC">
        <w:rPr>
          <w:rFonts w:ascii="Verdana" w:eastAsia="Times New Roman" w:hAnsi="Verdana" w:cs="Times New Roman"/>
          <w:b/>
          <w:bCs/>
          <w:color w:val="000000"/>
          <w:sz w:val="18"/>
          <w:szCs w:val="18"/>
          <w:lang w:eastAsia="ru-RU"/>
        </w:rPr>
        <w:t>при наличии</w:t>
      </w:r>
      <w:r w:rsidRPr="001B6DCC">
        <w:rPr>
          <w:rFonts w:ascii="Verdana" w:eastAsia="Times New Roman" w:hAnsi="Verdana" w:cs="Times New Roman"/>
          <w:color w:val="000000"/>
          <w:sz w:val="18"/>
          <w:szCs w:val="18"/>
          <w:lang w:eastAsia="ru-RU"/>
        </w:rPr>
        <w:t>);</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t>п) согласие на обработку персональных данных (</w:t>
      </w:r>
      <w:r w:rsidRPr="001B6DCC">
        <w:rPr>
          <w:rFonts w:ascii="Verdana" w:eastAsia="Times New Roman" w:hAnsi="Verdana" w:cs="Times New Roman"/>
          <w:b/>
          <w:bCs/>
          <w:color w:val="000000"/>
          <w:sz w:val="18"/>
          <w:szCs w:val="18"/>
          <w:lang w:eastAsia="ru-RU"/>
        </w:rPr>
        <w:t>для физических лиц</w:t>
      </w:r>
      <w:r w:rsidRPr="001B6DCC">
        <w:rPr>
          <w:rFonts w:ascii="Verdana" w:eastAsia="Times New Roman" w:hAnsi="Verdana" w:cs="Times New Roman"/>
          <w:color w:val="000000"/>
          <w:sz w:val="18"/>
          <w:szCs w:val="18"/>
          <w:lang w:eastAsia="ru-RU"/>
        </w:rPr>
        <w:t> </w:t>
      </w:r>
      <w:hyperlink r:id="rId7" w:tooltip="https://agro.gov74.ru/agro/activity/state-technical-supervision/state_registr_attractions/files.htm" w:history="1">
        <w:r w:rsidRPr="003D237A">
          <w:rPr>
            <w:rFonts w:ascii="Tahoma" w:eastAsia="Times New Roman" w:hAnsi="Tahoma" w:cs="Tahoma"/>
            <w:b/>
            <w:bCs/>
            <w:color w:val="666666"/>
            <w:sz w:val="18"/>
            <w:szCs w:val="18"/>
            <w:u w:val="single"/>
            <w:lang w:eastAsia="ru-RU"/>
          </w:rPr>
          <w:t>(скачать можно здесь)</w:t>
        </w:r>
      </w:hyperlink>
      <w:r w:rsidRPr="003D237A">
        <w:rPr>
          <w:rFonts w:ascii="Verdana" w:eastAsia="Times New Roman" w:hAnsi="Verdana" w:cs="Times New Roman"/>
          <w:color w:val="000000"/>
          <w:sz w:val="18"/>
          <w:szCs w:val="18"/>
          <w:lang w:eastAsia="ru-RU"/>
        </w:rPr>
        <w:t>;</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t>р) документы, использованные при определении эксплуатантом степени потенциального биомеханического риска аттракциона (в случае если эксплуатант использовал иные документы, кроме указанных в настоящем пункте).</w:t>
      </w:r>
    </w:p>
    <w:p w:rsidR="001B6DCC" w:rsidRPr="001B6DCC" w:rsidRDefault="001B6DCC" w:rsidP="001B6DCC">
      <w:pPr>
        <w:shd w:val="clear" w:color="auto" w:fill="FFFFFF"/>
        <w:spacing w:after="150" w:line="240" w:lineRule="auto"/>
        <w:rPr>
          <w:rFonts w:ascii="Verdana" w:eastAsia="Times New Roman" w:hAnsi="Verdana" w:cs="Times New Roman"/>
          <w:color w:val="000000"/>
          <w:sz w:val="17"/>
          <w:szCs w:val="17"/>
          <w:lang w:eastAsia="ru-RU"/>
        </w:rPr>
      </w:pPr>
      <w:r w:rsidRPr="001B6DCC">
        <w:rPr>
          <w:rFonts w:ascii="Verdana" w:eastAsia="Times New Roman" w:hAnsi="Verdana" w:cs="Times New Roman"/>
          <w:b/>
          <w:bCs/>
          <w:color w:val="000000"/>
          <w:sz w:val="18"/>
          <w:szCs w:val="18"/>
          <w:lang w:eastAsia="ru-RU"/>
        </w:rPr>
        <w:t>Осмотр аттракциона.</w:t>
      </w:r>
      <w:bookmarkStart w:id="0" w:name="_GoBack"/>
      <w:bookmarkEnd w:id="0"/>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t>В случае успешного прохождения процедуры проверки вышеуказанных документов, а также отсутствия оснований для отказа в предоставлении государственной услуги, назначается дата и время осмотра аттракциона. При осмотре аттракциона осуществляются идентификация аттракциона визуальным методом, проверка наличия маркировки аттракциона и соответствия ее представленным документам и проверка наличия:</w:t>
      </w:r>
    </w:p>
    <w:p w:rsidR="001B6DCC" w:rsidRPr="001B6DCC" w:rsidRDefault="001B6DCC" w:rsidP="001B6DCC">
      <w:pPr>
        <w:numPr>
          <w:ilvl w:val="0"/>
          <w:numId w:val="16"/>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размещенных перед входом на аттракцион правил пользования аттракционом для посетителей, а также правил обслуживания пассажиров-инвалидов, если биомеханические воздействия аттракциона для них допустимы, информации об ограничениях пользования аттракционом по состоянию здоровья, возрасту, росту и весу (если это предусмотрено эксплуатационными документами), информационной таблички, содержащей сведения о дате последней ежегодной проверки с указанием организации, которая провела проверку, и о дате ближайшей ежегодной проверки;</w:t>
      </w:r>
    </w:p>
    <w:p w:rsidR="001B6DCC" w:rsidRPr="001B6DCC" w:rsidRDefault="001B6DCC" w:rsidP="001B6DCC">
      <w:pPr>
        <w:numPr>
          <w:ilvl w:val="0"/>
          <w:numId w:val="16"/>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средств для измерения роста и веса пассажиров (если эксплуатационными документами предусмотрены ограничения по росту и весу для пользования аттракционом);</w:t>
      </w:r>
    </w:p>
    <w:p w:rsidR="001B6DCC" w:rsidRPr="001B6DCC" w:rsidRDefault="001B6DCC" w:rsidP="001B6DCC">
      <w:pPr>
        <w:numPr>
          <w:ilvl w:val="0"/>
          <w:numId w:val="16"/>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размещенных рядом с пультом аттракциона табличек, содержащих сведения об основных технических характеристиках аттракциона;</w:t>
      </w:r>
    </w:p>
    <w:p w:rsidR="001B6DCC" w:rsidRPr="001B6DCC" w:rsidRDefault="001B6DCC" w:rsidP="001B6DCC">
      <w:pPr>
        <w:numPr>
          <w:ilvl w:val="0"/>
          <w:numId w:val="16"/>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схем загрузки аттракциона пассажирами (если это предусмотрено эксплуатационными документами);</w:t>
      </w:r>
    </w:p>
    <w:p w:rsidR="001B6DCC" w:rsidRPr="001B6DCC" w:rsidRDefault="001B6DCC" w:rsidP="001B6DCC">
      <w:pPr>
        <w:numPr>
          <w:ilvl w:val="0"/>
          <w:numId w:val="16"/>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размещенных на рабочем месте обслуживающего персонала табличек, содержащих требования к персоналу, касающиеся порядка ежедневных проверок в отношении критичных компонентов и критичных параметров, основных правил по обслуживанию аттракциона;</w:t>
      </w:r>
    </w:p>
    <w:p w:rsidR="001B6DCC" w:rsidRPr="001B6DCC" w:rsidRDefault="001B6DCC" w:rsidP="001B6DCC">
      <w:pPr>
        <w:numPr>
          <w:ilvl w:val="0"/>
          <w:numId w:val="16"/>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медицинских аптечек;</w:t>
      </w:r>
    </w:p>
    <w:p w:rsidR="001B6DCC" w:rsidRPr="001B6DCC" w:rsidRDefault="001B6DCC" w:rsidP="001B6DCC">
      <w:pPr>
        <w:numPr>
          <w:ilvl w:val="0"/>
          <w:numId w:val="16"/>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размещенных необходимых эвакуационных знаков;</w:t>
      </w:r>
    </w:p>
    <w:p w:rsidR="001B6DCC" w:rsidRPr="001B6DCC" w:rsidRDefault="001B6DCC" w:rsidP="001B6DCC">
      <w:pPr>
        <w:numPr>
          <w:ilvl w:val="0"/>
          <w:numId w:val="16"/>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плана и информации о мероприятиях по эвакуации пассажиров с большой высоты или из кресел со значительным наклоном по отношению к земле (в соответствии с эксплуатационными документами);</w:t>
      </w:r>
    </w:p>
    <w:p w:rsidR="001B6DCC" w:rsidRPr="001B6DCC" w:rsidRDefault="001B6DCC" w:rsidP="001B6DCC">
      <w:pPr>
        <w:numPr>
          <w:ilvl w:val="0"/>
          <w:numId w:val="16"/>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средств эвакуации пассажиров из пассажирских модулей (если это предусмотрено эксплуатационными документами);</w:t>
      </w:r>
    </w:p>
    <w:p w:rsidR="001B6DCC" w:rsidRPr="001B6DCC" w:rsidRDefault="001B6DCC" w:rsidP="001B6DCC">
      <w:pPr>
        <w:numPr>
          <w:ilvl w:val="0"/>
          <w:numId w:val="16"/>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предусмотренных эксплуатационными документами ограждений и иных средств, исключающих свободный доступ посетителей в опасные зоны (зоны движения пассажирских модулей, механизмов, шкафы с электрооборудованием, платформы и лестницы для обслуживающего персонала) во время работы аттракциона и вне его работы;</w:t>
      </w:r>
    </w:p>
    <w:p w:rsidR="001B6DCC" w:rsidRPr="001B6DCC" w:rsidRDefault="001B6DCC" w:rsidP="001B6DCC">
      <w:pPr>
        <w:numPr>
          <w:ilvl w:val="0"/>
          <w:numId w:val="16"/>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установленных на площадке аттракциона приборов для измерения силы ветра и температуры окружающего воздуха (если в эксплуатационных документах предусмотрены ограничения по использованию аттракциона в зависимости от силы ветра или температуры);</w:t>
      </w:r>
    </w:p>
    <w:p w:rsidR="001B6DCC" w:rsidRPr="001B6DCC" w:rsidRDefault="001B6DCC" w:rsidP="001B6DCC">
      <w:pPr>
        <w:numPr>
          <w:ilvl w:val="0"/>
          <w:numId w:val="16"/>
        </w:numPr>
        <w:shd w:val="clear" w:color="auto" w:fill="FFFFFF"/>
        <w:spacing w:before="100" w:beforeAutospacing="1" w:after="100" w:afterAutospacing="1" w:line="240" w:lineRule="auto"/>
        <w:jc w:val="both"/>
        <w:rPr>
          <w:rFonts w:ascii="Verdana" w:eastAsia="Times New Roman" w:hAnsi="Verdana" w:cs="Times New Roman"/>
          <w:color w:val="3B4256"/>
          <w:sz w:val="17"/>
          <w:szCs w:val="17"/>
          <w:lang w:eastAsia="ru-RU"/>
        </w:rPr>
      </w:pPr>
      <w:r w:rsidRPr="001B6DCC">
        <w:rPr>
          <w:rFonts w:ascii="Verdana" w:eastAsia="Times New Roman" w:hAnsi="Verdana" w:cs="Times New Roman"/>
          <w:color w:val="3B4256"/>
          <w:sz w:val="18"/>
          <w:szCs w:val="18"/>
          <w:lang w:eastAsia="ru-RU"/>
        </w:rPr>
        <w:t>оригиналов журналов, указанных в подпункте "з" пункта 18 настоящих Правил.</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t>Также, при осмотре аттракциона осуществляется пробный пуск с проведением видеофиксации (с участием эксплуатанта или его представителя), проверка отсутствия причин для отказа в государственной регистрации аттракциона, предусмотренных пунктом 50 Правил.</w:t>
      </w:r>
    </w:p>
    <w:p w:rsidR="001B6DCC" w:rsidRPr="001B6DCC" w:rsidRDefault="001B6DCC" w:rsidP="001B6DCC">
      <w:pPr>
        <w:shd w:val="clear" w:color="auto" w:fill="FFFFFF"/>
        <w:spacing w:after="150" w:line="240" w:lineRule="auto"/>
        <w:rPr>
          <w:rFonts w:ascii="Verdana" w:eastAsia="Times New Roman" w:hAnsi="Verdana" w:cs="Times New Roman"/>
          <w:color w:val="000000"/>
          <w:sz w:val="17"/>
          <w:szCs w:val="17"/>
          <w:lang w:eastAsia="ru-RU"/>
        </w:rPr>
      </w:pPr>
      <w:r w:rsidRPr="001B6DCC">
        <w:rPr>
          <w:rFonts w:ascii="Verdana" w:eastAsia="Times New Roman" w:hAnsi="Verdana" w:cs="Times New Roman"/>
          <w:b/>
          <w:bCs/>
          <w:color w:val="000000"/>
          <w:sz w:val="18"/>
          <w:szCs w:val="18"/>
          <w:lang w:eastAsia="ru-RU"/>
        </w:rPr>
        <w:t>Государственная регистрация аттракциона.</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lastRenderedPageBreak/>
        <w:t xml:space="preserve">В случае успешного прохождения предыдущей административной процедуры, а также отсутствия оснований для отказа в предоставлении государственной услуги, в течение трех рабочих дней аттракцион будет </w:t>
      </w:r>
      <w:r w:rsidR="00016012" w:rsidRPr="001B6DCC">
        <w:rPr>
          <w:rFonts w:ascii="Verdana" w:eastAsia="Times New Roman" w:hAnsi="Verdana" w:cs="Times New Roman"/>
          <w:color w:val="000000"/>
          <w:sz w:val="18"/>
          <w:szCs w:val="18"/>
          <w:lang w:eastAsia="ru-RU"/>
        </w:rPr>
        <w:t>зарегистрирован</w:t>
      </w:r>
      <w:r w:rsidRPr="001B6DCC">
        <w:rPr>
          <w:rFonts w:ascii="Verdana" w:eastAsia="Times New Roman" w:hAnsi="Verdana" w:cs="Times New Roman"/>
          <w:color w:val="000000"/>
          <w:sz w:val="18"/>
          <w:szCs w:val="18"/>
          <w:lang w:eastAsia="ru-RU"/>
        </w:rPr>
        <w:t>. Заявителю выдаются государственный регистрационный знак, соответствующий требованиям, и свидетельство о государственной регистрации аттракциона по форме. Эксплуатант должен обеспечить размещение государственного регистрационного знака в зоне видимости посетителей при входе на аттракцион, а для самоходных аттракционов, передвигающихся по установленному маршруту, - на передней части аттракциона по его оси симметрии или слева от нее. При эксплуатации аттракциона свидетельство о государственной регистрации аттракциона должно находиться у оператора аттракциона.</w:t>
      </w:r>
    </w:p>
    <w:p w:rsidR="001B6DCC" w:rsidRPr="001B6DCC" w:rsidRDefault="001B6DCC" w:rsidP="001B6DCC">
      <w:pPr>
        <w:shd w:val="clear" w:color="auto" w:fill="FFFFFF"/>
        <w:spacing w:after="0" w:line="240" w:lineRule="auto"/>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t> </w:t>
      </w:r>
    </w:p>
    <w:p w:rsidR="001B6DCC" w:rsidRPr="001B6DCC" w:rsidRDefault="001B6DCC" w:rsidP="001B6DCC">
      <w:pPr>
        <w:shd w:val="clear" w:color="auto" w:fill="FFFFFF"/>
        <w:spacing w:after="150" w:line="240" w:lineRule="auto"/>
        <w:jc w:val="center"/>
        <w:rPr>
          <w:rFonts w:ascii="Verdana" w:eastAsia="Times New Roman" w:hAnsi="Verdana" w:cs="Times New Roman"/>
          <w:color w:val="000000"/>
          <w:sz w:val="17"/>
          <w:szCs w:val="17"/>
          <w:lang w:eastAsia="ru-RU"/>
        </w:rPr>
      </w:pPr>
      <w:r w:rsidRPr="001B6DCC">
        <w:rPr>
          <w:rFonts w:ascii="Verdana" w:eastAsia="Times New Roman" w:hAnsi="Verdana" w:cs="Times New Roman"/>
          <w:b/>
          <w:bCs/>
          <w:color w:val="000000"/>
          <w:sz w:val="18"/>
          <w:szCs w:val="18"/>
          <w:lang w:eastAsia="ru-RU"/>
        </w:rPr>
        <w:t>Как получить акт оценки технического состояния аттракциона (технического освидетельствования) (продления срока службы аттракциона)?</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t>Одним из необходимых для государственной регистрации аттракциона документов, в соответствии с пунктом 18 Правил, является акт оценки технического состояния аттракциона (технического освидетельствования), подтверждающий соответствие аттракциона перечню требований к техническому состоянию и эксплуатации аттракционов, выданный специализированной организацией после завершения монтажа (сборки, установки) аттракциона.</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t>Специализированной организацией, в соответствии с Правилами, является организация, аккредитованная в соответствии с законодательством Российской Федерации об аккредитации в национальной системе аккредитации, область аккредитации которой соответствует области применения указанных Правил.</w:t>
      </w:r>
    </w:p>
    <w:p w:rsidR="001B6DCC" w:rsidRPr="001B6DCC" w:rsidRDefault="001B6DCC" w:rsidP="001B6DCC">
      <w:pPr>
        <w:shd w:val="clear" w:color="auto" w:fill="FFFFFF"/>
        <w:spacing w:after="150" w:line="240" w:lineRule="auto"/>
        <w:jc w:val="both"/>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t xml:space="preserve">Самый актуальный список </w:t>
      </w:r>
      <w:r w:rsidR="000C6845" w:rsidRPr="001B6DCC">
        <w:rPr>
          <w:rFonts w:ascii="Verdana" w:eastAsia="Times New Roman" w:hAnsi="Verdana" w:cs="Times New Roman"/>
          <w:color w:val="000000"/>
          <w:sz w:val="18"/>
          <w:szCs w:val="18"/>
          <w:lang w:eastAsia="ru-RU"/>
        </w:rPr>
        <w:t>специализированных</w:t>
      </w:r>
      <w:r w:rsidRPr="001B6DCC">
        <w:rPr>
          <w:rFonts w:ascii="Verdana" w:eastAsia="Times New Roman" w:hAnsi="Verdana" w:cs="Times New Roman"/>
          <w:color w:val="000000"/>
          <w:sz w:val="18"/>
          <w:szCs w:val="18"/>
          <w:lang w:eastAsia="ru-RU"/>
        </w:rPr>
        <w:t xml:space="preserve"> организаций можно посмотреть на сайте Федеральной службы по аккредитации в </w:t>
      </w:r>
      <w:hyperlink r:id="rId8" w:tooltip="https://pub.fsa.gov.ru/ral" w:history="1">
        <w:r w:rsidRPr="001B6DCC">
          <w:rPr>
            <w:rFonts w:ascii="Tahoma" w:eastAsia="Times New Roman" w:hAnsi="Tahoma" w:cs="Tahoma"/>
            <w:color w:val="666666"/>
            <w:sz w:val="18"/>
            <w:szCs w:val="18"/>
            <w:u w:val="single"/>
            <w:lang w:eastAsia="ru-RU"/>
          </w:rPr>
          <w:t>открытом реестре аккредитованных лиц</w:t>
        </w:r>
      </w:hyperlink>
      <w:r w:rsidRPr="001B6DCC">
        <w:rPr>
          <w:rFonts w:ascii="Verdana" w:eastAsia="Times New Roman" w:hAnsi="Verdana" w:cs="Times New Roman"/>
          <w:color w:val="000000"/>
          <w:sz w:val="18"/>
          <w:szCs w:val="18"/>
          <w:lang w:eastAsia="ru-RU"/>
        </w:rPr>
        <w:t>. На сегодняшний день на территории Российской Федерации аккредитованы следующие специализированные организации, имеющие право на проведение технического освидетельствования аттракционов для подтверждения соответствия требованиям безопасности Технического регламента Евразийского экономического союза «О безопасности аттракционов» (ТР ЕАЭС 038/2016), продление срока службы аттракциона и, соответственно, выдачу акта оценки технического состояния:</w:t>
      </w:r>
    </w:p>
    <w:p w:rsidR="00DE6AED" w:rsidRDefault="00DE6AED" w:rsidP="005F5047">
      <w:pPr>
        <w:spacing w:after="0"/>
        <w:jc w:val="center"/>
        <w:rPr>
          <w:b/>
          <w:bCs/>
        </w:rPr>
      </w:pPr>
    </w:p>
    <w:p w:rsidR="005F5047" w:rsidRDefault="005F5047" w:rsidP="005F5047">
      <w:pPr>
        <w:spacing w:after="0"/>
        <w:jc w:val="center"/>
        <w:rPr>
          <w:b/>
          <w:bCs/>
        </w:rPr>
      </w:pPr>
      <w:r w:rsidRPr="005241A4">
        <w:rPr>
          <w:b/>
          <w:bCs/>
        </w:rPr>
        <w:t>ОРГАНЫ И ЛАБОРАТОРИИ ПО ОБЯЗАТЕЛЬНОЙ СЕРТИФИКАЦИИ АТТРАКЦИОНОВ, ПОЛУЧИВШИЕ АТТЕСТАТ АККРЕДИТАЦИИ.</w:t>
      </w:r>
    </w:p>
    <w:p w:rsidR="005F5047" w:rsidRPr="005241A4" w:rsidRDefault="005F5047" w:rsidP="005F5047">
      <w:pPr>
        <w:spacing w:after="0"/>
        <w:jc w:val="center"/>
        <w:rPr>
          <w:b/>
          <w:bCs/>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349"/>
        <w:gridCol w:w="2916"/>
        <w:gridCol w:w="4057"/>
        <w:gridCol w:w="2023"/>
      </w:tblGrid>
      <w:tr w:rsidR="005F5047" w:rsidRPr="00B2624E" w:rsidTr="005F5047">
        <w:trPr>
          <w:trHeight w:val="564"/>
          <w:tblCellSpacing w:w="0" w:type="dxa"/>
        </w:trPr>
        <w:tc>
          <w:tcPr>
            <w:tcW w:w="0" w:type="auto"/>
            <w:vAlign w:val="center"/>
            <w:hideMark/>
          </w:tcPr>
          <w:p w:rsidR="005F5047" w:rsidRPr="00B2624E" w:rsidRDefault="005F5047" w:rsidP="00752E5B">
            <w:pPr>
              <w:spacing w:after="0" w:line="240" w:lineRule="auto"/>
              <w:jc w:val="center"/>
              <w:rPr>
                <w:b/>
                <w:bCs/>
                <w:sz w:val="26"/>
                <w:szCs w:val="26"/>
              </w:rPr>
            </w:pPr>
            <w:r w:rsidRPr="00B2624E">
              <w:rPr>
                <w:b/>
                <w:bCs/>
                <w:sz w:val="26"/>
                <w:szCs w:val="26"/>
              </w:rPr>
              <w:t>№</w:t>
            </w:r>
          </w:p>
        </w:tc>
        <w:tc>
          <w:tcPr>
            <w:tcW w:w="0" w:type="auto"/>
            <w:vAlign w:val="center"/>
            <w:hideMark/>
          </w:tcPr>
          <w:p w:rsidR="005F5047" w:rsidRPr="00B2624E" w:rsidRDefault="005F5047" w:rsidP="00752E5B">
            <w:pPr>
              <w:spacing w:after="0" w:line="240" w:lineRule="auto"/>
              <w:rPr>
                <w:b/>
                <w:bCs/>
                <w:sz w:val="26"/>
                <w:szCs w:val="26"/>
              </w:rPr>
            </w:pPr>
            <w:r w:rsidRPr="00B2624E">
              <w:rPr>
                <w:b/>
                <w:bCs/>
                <w:sz w:val="26"/>
                <w:szCs w:val="26"/>
              </w:rPr>
              <w:t>Название компании</w:t>
            </w:r>
          </w:p>
        </w:tc>
        <w:tc>
          <w:tcPr>
            <w:tcW w:w="0" w:type="auto"/>
            <w:vAlign w:val="center"/>
            <w:hideMark/>
          </w:tcPr>
          <w:p w:rsidR="005F5047" w:rsidRPr="00B2624E" w:rsidRDefault="005F5047" w:rsidP="00752E5B">
            <w:pPr>
              <w:spacing w:after="0" w:line="240" w:lineRule="auto"/>
              <w:rPr>
                <w:b/>
                <w:bCs/>
                <w:sz w:val="26"/>
                <w:szCs w:val="26"/>
              </w:rPr>
            </w:pPr>
            <w:r w:rsidRPr="00B2624E">
              <w:rPr>
                <w:b/>
                <w:bCs/>
                <w:sz w:val="26"/>
                <w:szCs w:val="26"/>
              </w:rPr>
              <w:t>Адрес/тел./e-</w:t>
            </w:r>
            <w:proofErr w:type="spellStart"/>
            <w:r w:rsidRPr="00B2624E">
              <w:rPr>
                <w:b/>
                <w:bCs/>
                <w:sz w:val="26"/>
                <w:szCs w:val="26"/>
              </w:rPr>
              <w:t>mail</w:t>
            </w:r>
            <w:proofErr w:type="spellEnd"/>
          </w:p>
        </w:tc>
        <w:tc>
          <w:tcPr>
            <w:tcW w:w="0" w:type="auto"/>
            <w:vAlign w:val="center"/>
            <w:hideMark/>
          </w:tcPr>
          <w:p w:rsidR="005F5047" w:rsidRPr="00B2624E" w:rsidRDefault="005F5047" w:rsidP="00752E5B">
            <w:pPr>
              <w:spacing w:after="0" w:line="240" w:lineRule="auto"/>
              <w:rPr>
                <w:b/>
                <w:bCs/>
                <w:sz w:val="26"/>
                <w:szCs w:val="26"/>
              </w:rPr>
            </w:pPr>
            <w:r w:rsidRPr="00B2624E">
              <w:rPr>
                <w:b/>
                <w:bCs/>
                <w:sz w:val="26"/>
                <w:szCs w:val="26"/>
              </w:rPr>
              <w:t>Номер аттестата</w:t>
            </w:r>
          </w:p>
        </w:tc>
      </w:tr>
      <w:tr w:rsidR="005F5047" w:rsidRPr="00B2624E" w:rsidTr="005F5047">
        <w:trPr>
          <w:tblCellSpacing w:w="0" w:type="dxa"/>
        </w:trPr>
        <w:tc>
          <w:tcPr>
            <w:tcW w:w="0" w:type="auto"/>
            <w:vAlign w:val="center"/>
            <w:hideMark/>
          </w:tcPr>
          <w:p w:rsidR="005F5047" w:rsidRPr="00B2624E" w:rsidRDefault="005F5047" w:rsidP="00752E5B">
            <w:pPr>
              <w:spacing w:after="0" w:line="240" w:lineRule="auto"/>
              <w:jc w:val="center"/>
              <w:rPr>
                <w:sz w:val="26"/>
                <w:szCs w:val="26"/>
              </w:rPr>
            </w:pPr>
            <w:r w:rsidRPr="00B2624E">
              <w:rPr>
                <w:sz w:val="26"/>
                <w:szCs w:val="26"/>
              </w:rPr>
              <w:t>1</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ООО «ЦИЭС Безопасность»</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193079, г.</w:t>
            </w:r>
            <w:r>
              <w:rPr>
                <w:sz w:val="26"/>
                <w:szCs w:val="26"/>
              </w:rPr>
              <w:t xml:space="preserve"> </w:t>
            </w:r>
            <w:r w:rsidRPr="00B2624E">
              <w:rPr>
                <w:sz w:val="26"/>
                <w:szCs w:val="26"/>
              </w:rPr>
              <w:t>Санкт-Петербург, Октябрьская набережная, д. 80, корпус 1, литер Е, пом. 1Н</w:t>
            </w:r>
            <w:r w:rsidRPr="00B2624E">
              <w:rPr>
                <w:sz w:val="26"/>
                <w:szCs w:val="26"/>
              </w:rPr>
              <w:br/>
            </w:r>
            <w:hyperlink r:id="rId9" w:history="1">
              <w:r w:rsidRPr="00B2624E">
                <w:rPr>
                  <w:rStyle w:val="a4"/>
                  <w:sz w:val="26"/>
                  <w:szCs w:val="26"/>
                </w:rPr>
                <w:t>vprix@rambler.ru</w:t>
              </w:r>
            </w:hyperlink>
            <w:r w:rsidRPr="00B2624E">
              <w:rPr>
                <w:sz w:val="26"/>
                <w:szCs w:val="26"/>
              </w:rPr>
              <w:br/>
              <w:t>+7 (812) 412-38-48</w:t>
            </w:r>
          </w:p>
        </w:tc>
        <w:tc>
          <w:tcPr>
            <w:tcW w:w="0" w:type="auto"/>
            <w:vAlign w:val="center"/>
            <w:hideMark/>
          </w:tcPr>
          <w:p w:rsidR="005F5047" w:rsidRDefault="005F5047" w:rsidP="00752E5B">
            <w:pPr>
              <w:spacing w:after="0" w:line="240" w:lineRule="auto"/>
              <w:rPr>
                <w:sz w:val="26"/>
                <w:szCs w:val="26"/>
              </w:rPr>
            </w:pPr>
            <w:r w:rsidRPr="00B2624E">
              <w:rPr>
                <w:sz w:val="26"/>
                <w:szCs w:val="26"/>
              </w:rPr>
              <w:t>РОСС</w:t>
            </w:r>
            <w:r w:rsidRPr="00B2624E">
              <w:rPr>
                <w:sz w:val="26"/>
                <w:szCs w:val="26"/>
              </w:rPr>
              <w:br/>
              <w:t>RU.0001.11МР17</w:t>
            </w:r>
          </w:p>
          <w:p w:rsidR="005F5047" w:rsidRPr="000B42DF" w:rsidRDefault="005F5047" w:rsidP="00752E5B">
            <w:pPr>
              <w:spacing w:after="0" w:line="240" w:lineRule="auto"/>
              <w:rPr>
                <w:sz w:val="20"/>
                <w:szCs w:val="20"/>
              </w:rPr>
            </w:pPr>
          </w:p>
          <w:p w:rsidR="005F5047" w:rsidRPr="00B2624E" w:rsidRDefault="005F5047" w:rsidP="00752E5B">
            <w:pPr>
              <w:spacing w:after="0" w:line="240" w:lineRule="auto"/>
              <w:rPr>
                <w:sz w:val="26"/>
                <w:szCs w:val="26"/>
              </w:rPr>
            </w:pPr>
            <w:r w:rsidRPr="00B2624E">
              <w:rPr>
                <w:sz w:val="26"/>
                <w:szCs w:val="26"/>
              </w:rPr>
              <w:t>РОСС</w:t>
            </w:r>
            <w:r w:rsidRPr="00B2624E">
              <w:rPr>
                <w:sz w:val="26"/>
                <w:szCs w:val="26"/>
              </w:rPr>
              <w:br/>
              <w:t>RU.0001.21СС05</w:t>
            </w:r>
          </w:p>
        </w:tc>
      </w:tr>
      <w:tr w:rsidR="005F5047" w:rsidRPr="00B2624E" w:rsidTr="005F5047">
        <w:trPr>
          <w:tblCellSpacing w:w="0" w:type="dxa"/>
        </w:trPr>
        <w:tc>
          <w:tcPr>
            <w:tcW w:w="0" w:type="auto"/>
            <w:vAlign w:val="center"/>
            <w:hideMark/>
          </w:tcPr>
          <w:p w:rsidR="005F5047" w:rsidRPr="00B2624E" w:rsidRDefault="005F5047" w:rsidP="00752E5B">
            <w:pPr>
              <w:spacing w:after="0" w:line="240" w:lineRule="auto"/>
              <w:jc w:val="center"/>
              <w:rPr>
                <w:sz w:val="26"/>
                <w:szCs w:val="26"/>
              </w:rPr>
            </w:pPr>
            <w:r w:rsidRPr="00B2624E">
              <w:rPr>
                <w:sz w:val="26"/>
                <w:szCs w:val="26"/>
              </w:rPr>
              <w:t>2</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ООО «</w:t>
            </w:r>
            <w:proofErr w:type="gramStart"/>
            <w:r w:rsidRPr="00B2624E">
              <w:rPr>
                <w:sz w:val="26"/>
                <w:szCs w:val="26"/>
              </w:rPr>
              <w:t>НВП«</w:t>
            </w:r>
            <w:proofErr w:type="gramEnd"/>
            <w:r w:rsidRPr="00B2624E">
              <w:rPr>
                <w:sz w:val="26"/>
                <w:szCs w:val="26"/>
              </w:rPr>
              <w:t>ДИАМЕТ»</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141280, г. Ивантеевка, Студенческий проезд</w:t>
            </w:r>
            <w:r>
              <w:rPr>
                <w:sz w:val="26"/>
                <w:szCs w:val="26"/>
              </w:rPr>
              <w:t>,</w:t>
            </w:r>
            <w:r w:rsidRPr="00B2624E">
              <w:rPr>
                <w:sz w:val="26"/>
                <w:szCs w:val="26"/>
              </w:rPr>
              <w:t xml:space="preserve"> д.</w:t>
            </w:r>
            <w:r>
              <w:rPr>
                <w:sz w:val="26"/>
                <w:szCs w:val="26"/>
              </w:rPr>
              <w:t xml:space="preserve"> </w:t>
            </w:r>
            <w:r w:rsidRPr="00B2624E">
              <w:rPr>
                <w:sz w:val="26"/>
                <w:szCs w:val="26"/>
              </w:rPr>
              <w:t>6</w:t>
            </w:r>
            <w:r>
              <w:rPr>
                <w:sz w:val="26"/>
                <w:szCs w:val="26"/>
              </w:rPr>
              <w:t>,</w:t>
            </w:r>
            <w:r w:rsidRPr="00B2624E">
              <w:rPr>
                <w:sz w:val="26"/>
                <w:szCs w:val="26"/>
              </w:rPr>
              <w:t xml:space="preserve"> кв.</w:t>
            </w:r>
            <w:r>
              <w:rPr>
                <w:sz w:val="26"/>
                <w:szCs w:val="26"/>
              </w:rPr>
              <w:t xml:space="preserve"> </w:t>
            </w:r>
            <w:r w:rsidRPr="00B2624E">
              <w:rPr>
                <w:sz w:val="26"/>
                <w:szCs w:val="26"/>
              </w:rPr>
              <w:t>28</w:t>
            </w:r>
            <w:r w:rsidRPr="00B2624E">
              <w:rPr>
                <w:sz w:val="26"/>
                <w:szCs w:val="26"/>
              </w:rPr>
              <w:br/>
            </w:r>
            <w:hyperlink r:id="rId10" w:history="1">
              <w:r w:rsidRPr="00B2624E">
                <w:rPr>
                  <w:rStyle w:val="a4"/>
                  <w:sz w:val="26"/>
                  <w:szCs w:val="26"/>
                </w:rPr>
                <w:t>diamet@mail.ru</w:t>
              </w:r>
            </w:hyperlink>
            <w:r w:rsidRPr="00B2624E">
              <w:rPr>
                <w:sz w:val="26"/>
                <w:szCs w:val="26"/>
              </w:rPr>
              <w:br/>
              <w:t>+7 (495) 542-59-80</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RA.RU.21ЛК66</w:t>
            </w:r>
          </w:p>
        </w:tc>
      </w:tr>
      <w:tr w:rsidR="005F5047" w:rsidRPr="00B2624E" w:rsidTr="005F5047">
        <w:trPr>
          <w:tblCellSpacing w:w="0" w:type="dxa"/>
        </w:trPr>
        <w:tc>
          <w:tcPr>
            <w:tcW w:w="0" w:type="auto"/>
            <w:vAlign w:val="center"/>
            <w:hideMark/>
          </w:tcPr>
          <w:p w:rsidR="005F5047" w:rsidRPr="00B2624E" w:rsidRDefault="005F5047" w:rsidP="00752E5B">
            <w:pPr>
              <w:spacing w:after="0" w:line="240" w:lineRule="auto"/>
              <w:jc w:val="center"/>
              <w:rPr>
                <w:sz w:val="26"/>
                <w:szCs w:val="26"/>
              </w:rPr>
            </w:pPr>
            <w:r w:rsidRPr="00B2624E">
              <w:rPr>
                <w:sz w:val="26"/>
                <w:szCs w:val="26"/>
              </w:rPr>
              <w:t>3</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ООО «Центр по безопасности аттракционов»</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350051, г. Краснодар, Западный внутри</w:t>
            </w:r>
            <w:r>
              <w:rPr>
                <w:sz w:val="26"/>
                <w:szCs w:val="26"/>
              </w:rPr>
              <w:t xml:space="preserve">городской округ, ул. </w:t>
            </w:r>
            <w:proofErr w:type="spellStart"/>
            <w:r>
              <w:rPr>
                <w:sz w:val="26"/>
                <w:szCs w:val="26"/>
              </w:rPr>
              <w:t>Лузана</w:t>
            </w:r>
            <w:proofErr w:type="spellEnd"/>
            <w:r>
              <w:rPr>
                <w:sz w:val="26"/>
                <w:szCs w:val="26"/>
              </w:rPr>
              <w:t>, д. </w:t>
            </w:r>
            <w:r w:rsidRPr="00B2624E">
              <w:rPr>
                <w:sz w:val="26"/>
                <w:szCs w:val="26"/>
              </w:rPr>
              <w:t>19</w:t>
            </w:r>
            <w:r w:rsidRPr="00B2624E">
              <w:rPr>
                <w:sz w:val="26"/>
                <w:szCs w:val="26"/>
              </w:rPr>
              <w:br/>
            </w:r>
            <w:hyperlink r:id="rId11" w:history="1">
              <w:r w:rsidRPr="00B2624E">
                <w:rPr>
                  <w:rStyle w:val="a4"/>
                  <w:sz w:val="26"/>
                  <w:szCs w:val="26"/>
                </w:rPr>
                <w:t>ilat2004@mail.ru</w:t>
              </w:r>
            </w:hyperlink>
            <w:r w:rsidRPr="00B2624E">
              <w:rPr>
                <w:sz w:val="26"/>
                <w:szCs w:val="26"/>
              </w:rPr>
              <w:br/>
              <w:t>+7 (861) 224-42-27</w:t>
            </w:r>
          </w:p>
        </w:tc>
        <w:tc>
          <w:tcPr>
            <w:tcW w:w="0" w:type="auto"/>
            <w:vAlign w:val="center"/>
            <w:hideMark/>
          </w:tcPr>
          <w:p w:rsidR="005F5047" w:rsidRDefault="005F5047" w:rsidP="00752E5B">
            <w:pPr>
              <w:spacing w:after="0" w:line="240" w:lineRule="auto"/>
              <w:rPr>
                <w:sz w:val="26"/>
                <w:szCs w:val="26"/>
              </w:rPr>
            </w:pPr>
            <w:r w:rsidRPr="00B2624E">
              <w:rPr>
                <w:sz w:val="26"/>
                <w:szCs w:val="26"/>
              </w:rPr>
              <w:t>RA.RU.11АД41</w:t>
            </w:r>
          </w:p>
          <w:p w:rsidR="005F5047" w:rsidRPr="00D73966" w:rsidRDefault="005F5047" w:rsidP="00752E5B">
            <w:pPr>
              <w:spacing w:after="0" w:line="240" w:lineRule="auto"/>
              <w:rPr>
                <w:sz w:val="20"/>
                <w:szCs w:val="20"/>
              </w:rPr>
            </w:pPr>
          </w:p>
          <w:p w:rsidR="005F5047" w:rsidRPr="00B2624E" w:rsidRDefault="005F5047" w:rsidP="00752E5B">
            <w:pPr>
              <w:spacing w:after="0" w:line="240" w:lineRule="auto"/>
              <w:rPr>
                <w:sz w:val="26"/>
                <w:szCs w:val="26"/>
              </w:rPr>
            </w:pPr>
            <w:r w:rsidRPr="00B2624E">
              <w:rPr>
                <w:sz w:val="26"/>
                <w:szCs w:val="26"/>
              </w:rPr>
              <w:t>RA.RU.21СС04</w:t>
            </w:r>
          </w:p>
        </w:tc>
      </w:tr>
      <w:tr w:rsidR="005F5047" w:rsidRPr="00B2624E" w:rsidTr="005F5047">
        <w:trPr>
          <w:tblCellSpacing w:w="0" w:type="dxa"/>
        </w:trPr>
        <w:tc>
          <w:tcPr>
            <w:tcW w:w="0" w:type="auto"/>
            <w:vAlign w:val="center"/>
            <w:hideMark/>
          </w:tcPr>
          <w:p w:rsidR="005F5047" w:rsidRPr="00B2624E" w:rsidRDefault="005F5047" w:rsidP="00752E5B">
            <w:pPr>
              <w:spacing w:after="0" w:line="240" w:lineRule="auto"/>
              <w:jc w:val="center"/>
              <w:rPr>
                <w:sz w:val="26"/>
                <w:szCs w:val="26"/>
              </w:rPr>
            </w:pPr>
            <w:r w:rsidRPr="00B2624E">
              <w:rPr>
                <w:sz w:val="26"/>
                <w:szCs w:val="26"/>
              </w:rPr>
              <w:t>4</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ООО «ПРОММАШ ТЕСТ»</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142300, г.</w:t>
            </w:r>
            <w:r>
              <w:rPr>
                <w:sz w:val="26"/>
                <w:szCs w:val="26"/>
              </w:rPr>
              <w:t xml:space="preserve"> </w:t>
            </w:r>
            <w:r w:rsidRPr="00B2624E">
              <w:rPr>
                <w:sz w:val="26"/>
                <w:szCs w:val="26"/>
              </w:rPr>
              <w:t>Чехов,</w:t>
            </w:r>
            <w:r>
              <w:rPr>
                <w:sz w:val="26"/>
                <w:szCs w:val="26"/>
              </w:rPr>
              <w:t xml:space="preserve"> </w:t>
            </w:r>
            <w:r w:rsidRPr="00B2624E">
              <w:rPr>
                <w:sz w:val="26"/>
                <w:szCs w:val="26"/>
              </w:rPr>
              <w:t>МО, Симферопольское ш., д.2</w:t>
            </w:r>
            <w:r w:rsidRPr="00B2624E">
              <w:rPr>
                <w:sz w:val="26"/>
                <w:szCs w:val="26"/>
              </w:rPr>
              <w:br/>
            </w:r>
            <w:hyperlink r:id="rId12" w:history="1">
              <w:r w:rsidRPr="00B2624E">
                <w:rPr>
                  <w:rStyle w:val="a4"/>
                  <w:sz w:val="26"/>
                  <w:szCs w:val="26"/>
                </w:rPr>
                <w:t>info_tc@prommashtest.ru</w:t>
              </w:r>
            </w:hyperlink>
            <w:r w:rsidRPr="00B2624E">
              <w:rPr>
                <w:sz w:val="26"/>
                <w:szCs w:val="26"/>
              </w:rPr>
              <w:br/>
              <w:t>+7 (499) 703-51-62</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RA.RU.21АХ11</w:t>
            </w:r>
          </w:p>
        </w:tc>
      </w:tr>
      <w:tr w:rsidR="005F5047" w:rsidRPr="00B2624E" w:rsidTr="005F5047">
        <w:trPr>
          <w:tblCellSpacing w:w="0" w:type="dxa"/>
        </w:trPr>
        <w:tc>
          <w:tcPr>
            <w:tcW w:w="0" w:type="auto"/>
            <w:vAlign w:val="center"/>
            <w:hideMark/>
          </w:tcPr>
          <w:p w:rsidR="005F5047" w:rsidRPr="00B2624E" w:rsidRDefault="005F5047" w:rsidP="00752E5B">
            <w:pPr>
              <w:spacing w:after="0" w:line="240" w:lineRule="auto"/>
              <w:jc w:val="center"/>
              <w:rPr>
                <w:sz w:val="26"/>
                <w:szCs w:val="26"/>
              </w:rPr>
            </w:pPr>
            <w:r w:rsidRPr="00B2624E">
              <w:rPr>
                <w:sz w:val="26"/>
                <w:szCs w:val="26"/>
              </w:rPr>
              <w:lastRenderedPageBreak/>
              <w:t>5</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 xml:space="preserve">Испытательная лаборатория </w:t>
            </w:r>
            <w:proofErr w:type="gramStart"/>
            <w:r w:rsidRPr="00B2624E">
              <w:rPr>
                <w:sz w:val="26"/>
                <w:szCs w:val="26"/>
              </w:rPr>
              <w:t>ООО«</w:t>
            </w:r>
            <w:proofErr w:type="gramEnd"/>
            <w:r w:rsidRPr="00B2624E">
              <w:rPr>
                <w:sz w:val="26"/>
                <w:szCs w:val="26"/>
              </w:rPr>
              <w:t>ЭЦ«МАРСТАР»</w:t>
            </w:r>
          </w:p>
        </w:tc>
        <w:tc>
          <w:tcPr>
            <w:tcW w:w="0" w:type="auto"/>
            <w:vAlign w:val="center"/>
            <w:hideMark/>
          </w:tcPr>
          <w:p w:rsidR="005F5047" w:rsidRPr="00B2624E" w:rsidRDefault="005F5047" w:rsidP="00752E5B">
            <w:pPr>
              <w:spacing w:after="0" w:line="240" w:lineRule="auto"/>
              <w:rPr>
                <w:sz w:val="26"/>
                <w:szCs w:val="26"/>
              </w:rPr>
            </w:pPr>
            <w:proofErr w:type="gramStart"/>
            <w:r w:rsidRPr="00B2624E">
              <w:rPr>
                <w:sz w:val="26"/>
                <w:szCs w:val="26"/>
              </w:rPr>
              <w:t>192148,г.</w:t>
            </w:r>
            <w:proofErr w:type="gramEnd"/>
            <w:r w:rsidRPr="00B2624E">
              <w:rPr>
                <w:sz w:val="26"/>
                <w:szCs w:val="26"/>
              </w:rPr>
              <w:t xml:space="preserve"> Санкт-Петербург, ул.</w:t>
            </w:r>
            <w:r>
              <w:rPr>
                <w:sz w:val="26"/>
                <w:szCs w:val="26"/>
              </w:rPr>
              <w:t> </w:t>
            </w:r>
            <w:r w:rsidRPr="00B2624E">
              <w:rPr>
                <w:sz w:val="26"/>
                <w:szCs w:val="26"/>
              </w:rPr>
              <w:t>Седова, дом 37, литер А,</w:t>
            </w:r>
            <w:r>
              <w:rPr>
                <w:sz w:val="26"/>
                <w:szCs w:val="26"/>
              </w:rPr>
              <w:br/>
            </w:r>
            <w:r w:rsidRPr="00B2624E">
              <w:rPr>
                <w:sz w:val="26"/>
                <w:szCs w:val="26"/>
              </w:rPr>
              <w:t>пом.</w:t>
            </w:r>
            <w:r>
              <w:rPr>
                <w:sz w:val="26"/>
                <w:szCs w:val="26"/>
              </w:rPr>
              <w:t xml:space="preserve"> </w:t>
            </w:r>
            <w:r w:rsidRPr="00B2624E">
              <w:rPr>
                <w:sz w:val="26"/>
                <w:szCs w:val="26"/>
              </w:rPr>
              <w:t>98-Н, оф.</w:t>
            </w:r>
            <w:r>
              <w:rPr>
                <w:sz w:val="26"/>
                <w:szCs w:val="26"/>
              </w:rPr>
              <w:t xml:space="preserve"> </w:t>
            </w:r>
            <w:r w:rsidRPr="00B2624E">
              <w:rPr>
                <w:sz w:val="26"/>
                <w:szCs w:val="26"/>
              </w:rPr>
              <w:t>209</w:t>
            </w:r>
            <w:r w:rsidRPr="00B2624E">
              <w:rPr>
                <w:sz w:val="26"/>
                <w:szCs w:val="26"/>
              </w:rPr>
              <w:br/>
            </w:r>
            <w:hyperlink r:id="rId13" w:history="1">
              <w:r w:rsidRPr="00B2624E">
                <w:rPr>
                  <w:rStyle w:val="a4"/>
                  <w:sz w:val="26"/>
                  <w:szCs w:val="26"/>
                </w:rPr>
                <w:t>ec@marstar.spb.ru</w:t>
              </w:r>
            </w:hyperlink>
            <w:r w:rsidRPr="00B2624E">
              <w:rPr>
                <w:sz w:val="26"/>
                <w:szCs w:val="26"/>
              </w:rPr>
              <w:br/>
              <w:t>+7</w:t>
            </w:r>
            <w:r>
              <w:rPr>
                <w:sz w:val="26"/>
                <w:szCs w:val="26"/>
              </w:rPr>
              <w:t xml:space="preserve"> </w:t>
            </w:r>
            <w:r w:rsidRPr="00B2624E">
              <w:rPr>
                <w:sz w:val="26"/>
                <w:szCs w:val="26"/>
              </w:rPr>
              <w:t>8129603394</w:t>
            </w:r>
          </w:p>
        </w:tc>
        <w:tc>
          <w:tcPr>
            <w:tcW w:w="0" w:type="auto"/>
            <w:vAlign w:val="center"/>
            <w:hideMark/>
          </w:tcPr>
          <w:p w:rsidR="005F5047" w:rsidRDefault="005F5047" w:rsidP="00752E5B">
            <w:pPr>
              <w:spacing w:after="0" w:line="240" w:lineRule="auto"/>
              <w:rPr>
                <w:sz w:val="26"/>
                <w:szCs w:val="26"/>
              </w:rPr>
            </w:pPr>
            <w:r w:rsidRPr="00B2624E">
              <w:rPr>
                <w:sz w:val="26"/>
                <w:szCs w:val="26"/>
              </w:rPr>
              <w:t>RA.RU.11НB33</w:t>
            </w:r>
          </w:p>
          <w:p w:rsidR="005F5047" w:rsidRPr="000B42DF" w:rsidRDefault="005F5047" w:rsidP="00752E5B">
            <w:pPr>
              <w:spacing w:after="0" w:line="240" w:lineRule="auto"/>
              <w:rPr>
                <w:sz w:val="20"/>
                <w:szCs w:val="20"/>
              </w:rPr>
            </w:pPr>
          </w:p>
          <w:p w:rsidR="005F5047" w:rsidRPr="00B2624E" w:rsidRDefault="005F5047" w:rsidP="00752E5B">
            <w:pPr>
              <w:spacing w:after="0" w:line="240" w:lineRule="auto"/>
              <w:rPr>
                <w:sz w:val="26"/>
                <w:szCs w:val="26"/>
              </w:rPr>
            </w:pPr>
            <w:r w:rsidRPr="00B2624E">
              <w:rPr>
                <w:sz w:val="26"/>
                <w:szCs w:val="26"/>
              </w:rPr>
              <w:t>RA.RU.21НК63</w:t>
            </w:r>
          </w:p>
        </w:tc>
      </w:tr>
      <w:tr w:rsidR="005F5047" w:rsidRPr="00B2624E" w:rsidTr="005F5047">
        <w:trPr>
          <w:tblCellSpacing w:w="0" w:type="dxa"/>
        </w:trPr>
        <w:tc>
          <w:tcPr>
            <w:tcW w:w="0" w:type="auto"/>
            <w:vAlign w:val="center"/>
            <w:hideMark/>
          </w:tcPr>
          <w:p w:rsidR="005F5047" w:rsidRPr="00B2624E" w:rsidRDefault="005F5047" w:rsidP="00752E5B">
            <w:pPr>
              <w:spacing w:after="0" w:line="240" w:lineRule="auto"/>
              <w:jc w:val="center"/>
              <w:rPr>
                <w:sz w:val="26"/>
                <w:szCs w:val="26"/>
              </w:rPr>
            </w:pPr>
            <w:r w:rsidRPr="00B2624E">
              <w:rPr>
                <w:sz w:val="26"/>
                <w:szCs w:val="26"/>
              </w:rPr>
              <w:t>6</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ИЛ ООО «Эксперт-Диагностика»</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455021, Челябинская обл</w:t>
            </w:r>
            <w:r>
              <w:rPr>
                <w:sz w:val="26"/>
                <w:szCs w:val="26"/>
              </w:rPr>
              <w:t>.</w:t>
            </w:r>
            <w:r w:rsidRPr="00B2624E">
              <w:rPr>
                <w:sz w:val="26"/>
                <w:szCs w:val="26"/>
              </w:rPr>
              <w:t>, г</w:t>
            </w:r>
            <w:r>
              <w:rPr>
                <w:sz w:val="26"/>
                <w:szCs w:val="26"/>
              </w:rPr>
              <w:t>. </w:t>
            </w:r>
            <w:r w:rsidRPr="00B2624E">
              <w:rPr>
                <w:sz w:val="26"/>
                <w:szCs w:val="26"/>
              </w:rPr>
              <w:t>Магнитогорск, проезд Сиреневый, дом 11, офис № 2</w:t>
            </w:r>
            <w:r w:rsidRPr="00B2624E">
              <w:rPr>
                <w:sz w:val="26"/>
                <w:szCs w:val="26"/>
              </w:rPr>
              <w:br/>
            </w:r>
            <w:hyperlink r:id="rId14" w:history="1">
              <w:r w:rsidRPr="00B2624E">
                <w:rPr>
                  <w:rStyle w:val="a4"/>
                  <w:sz w:val="26"/>
                  <w:szCs w:val="26"/>
                </w:rPr>
                <w:t>e330331@yandex.ru</w:t>
              </w:r>
            </w:hyperlink>
            <w:r w:rsidRPr="00B2624E">
              <w:rPr>
                <w:sz w:val="26"/>
                <w:szCs w:val="26"/>
              </w:rPr>
              <w:br/>
              <w:t>+7 3519330331</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RA.RU.21НС23</w:t>
            </w:r>
          </w:p>
        </w:tc>
      </w:tr>
      <w:tr w:rsidR="005F5047" w:rsidRPr="00B2624E" w:rsidTr="005F5047">
        <w:trPr>
          <w:tblCellSpacing w:w="0" w:type="dxa"/>
        </w:trPr>
        <w:tc>
          <w:tcPr>
            <w:tcW w:w="0" w:type="auto"/>
            <w:vAlign w:val="center"/>
            <w:hideMark/>
          </w:tcPr>
          <w:p w:rsidR="005F5047" w:rsidRPr="00B2624E" w:rsidRDefault="005F5047" w:rsidP="00752E5B">
            <w:pPr>
              <w:spacing w:after="0" w:line="240" w:lineRule="auto"/>
              <w:jc w:val="center"/>
              <w:rPr>
                <w:sz w:val="26"/>
                <w:szCs w:val="26"/>
              </w:rPr>
            </w:pPr>
            <w:r w:rsidRPr="00B2624E">
              <w:rPr>
                <w:sz w:val="26"/>
                <w:szCs w:val="26"/>
              </w:rPr>
              <w:t>7</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ИЛ АТ ООО «ЗСЦ СОВТ»</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630084, Новосибирская обл</w:t>
            </w:r>
            <w:r>
              <w:rPr>
                <w:sz w:val="26"/>
                <w:szCs w:val="26"/>
              </w:rPr>
              <w:t>.</w:t>
            </w:r>
            <w:r w:rsidRPr="00B2624E">
              <w:rPr>
                <w:sz w:val="26"/>
                <w:szCs w:val="26"/>
              </w:rPr>
              <w:t>, г</w:t>
            </w:r>
            <w:r>
              <w:rPr>
                <w:sz w:val="26"/>
                <w:szCs w:val="26"/>
              </w:rPr>
              <w:t>. </w:t>
            </w:r>
            <w:r w:rsidRPr="00B2624E">
              <w:rPr>
                <w:sz w:val="26"/>
                <w:szCs w:val="26"/>
              </w:rPr>
              <w:t>Новосибирск, ул</w:t>
            </w:r>
            <w:r>
              <w:rPr>
                <w:sz w:val="26"/>
                <w:szCs w:val="26"/>
              </w:rPr>
              <w:t>.</w:t>
            </w:r>
            <w:r w:rsidRPr="00B2624E">
              <w:rPr>
                <w:sz w:val="26"/>
                <w:szCs w:val="26"/>
              </w:rPr>
              <w:t xml:space="preserve"> Новая Заря,</w:t>
            </w:r>
            <w:r w:rsidRPr="00B2624E">
              <w:rPr>
                <w:sz w:val="26"/>
                <w:szCs w:val="26"/>
              </w:rPr>
              <w:br/>
              <w:t>дом 2А, корп. 1, оф. 509</w:t>
            </w:r>
            <w:r w:rsidRPr="00B2624E">
              <w:rPr>
                <w:sz w:val="26"/>
                <w:szCs w:val="26"/>
              </w:rPr>
              <w:br/>
            </w:r>
            <w:hyperlink r:id="rId15" w:history="1">
              <w:r w:rsidRPr="00B2624E">
                <w:rPr>
                  <w:rStyle w:val="a4"/>
                  <w:sz w:val="26"/>
                  <w:szCs w:val="26"/>
                </w:rPr>
                <w:t>v.lapaev@inbox.ru</w:t>
              </w:r>
            </w:hyperlink>
            <w:r w:rsidRPr="00B2624E">
              <w:rPr>
                <w:sz w:val="26"/>
                <w:szCs w:val="26"/>
              </w:rPr>
              <w:br/>
              <w:t>+7 9139313124</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RA.RU.21НР17</w:t>
            </w:r>
          </w:p>
        </w:tc>
      </w:tr>
      <w:tr w:rsidR="005F5047" w:rsidRPr="00B2624E" w:rsidTr="005F5047">
        <w:trPr>
          <w:tblCellSpacing w:w="0" w:type="dxa"/>
        </w:trPr>
        <w:tc>
          <w:tcPr>
            <w:tcW w:w="0" w:type="auto"/>
            <w:vAlign w:val="center"/>
            <w:hideMark/>
          </w:tcPr>
          <w:p w:rsidR="005F5047" w:rsidRPr="00B2624E" w:rsidRDefault="005F5047" w:rsidP="00752E5B">
            <w:pPr>
              <w:spacing w:after="0" w:line="240" w:lineRule="auto"/>
              <w:jc w:val="center"/>
              <w:rPr>
                <w:sz w:val="26"/>
                <w:szCs w:val="26"/>
              </w:rPr>
            </w:pPr>
            <w:r w:rsidRPr="00B2624E">
              <w:rPr>
                <w:sz w:val="26"/>
                <w:szCs w:val="26"/>
              </w:rPr>
              <w:t>8</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ООО «ТЭДЭКС»</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140102, Россия, Московская область, г. Раменское, ул. Карла Маркса,</w:t>
            </w:r>
            <w:r>
              <w:rPr>
                <w:sz w:val="26"/>
                <w:szCs w:val="26"/>
              </w:rPr>
              <w:t xml:space="preserve"> </w:t>
            </w:r>
            <w:r w:rsidRPr="00B2624E">
              <w:rPr>
                <w:sz w:val="26"/>
                <w:szCs w:val="26"/>
              </w:rPr>
              <w:t>5</w:t>
            </w:r>
            <w:r w:rsidRPr="00B2624E">
              <w:rPr>
                <w:sz w:val="26"/>
                <w:szCs w:val="26"/>
              </w:rPr>
              <w:br/>
            </w:r>
            <w:hyperlink r:id="rId16" w:history="1">
              <w:r w:rsidRPr="00B2624E">
                <w:rPr>
                  <w:rStyle w:val="a4"/>
                  <w:sz w:val="26"/>
                  <w:szCs w:val="26"/>
                </w:rPr>
                <w:t>tedeks@yandex.ru</w:t>
              </w:r>
            </w:hyperlink>
            <w:r w:rsidRPr="00B2624E">
              <w:rPr>
                <w:sz w:val="26"/>
                <w:szCs w:val="26"/>
              </w:rPr>
              <w:br/>
              <w:t>+7 4964640333</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РОСС RU.0001.21ГА53</w:t>
            </w:r>
          </w:p>
        </w:tc>
      </w:tr>
      <w:tr w:rsidR="005F5047" w:rsidRPr="00B2624E" w:rsidTr="005F5047">
        <w:trPr>
          <w:tblCellSpacing w:w="0" w:type="dxa"/>
        </w:trPr>
        <w:tc>
          <w:tcPr>
            <w:tcW w:w="0" w:type="auto"/>
            <w:vAlign w:val="center"/>
            <w:hideMark/>
          </w:tcPr>
          <w:p w:rsidR="005F5047" w:rsidRPr="00B2624E" w:rsidRDefault="005F5047" w:rsidP="00752E5B">
            <w:pPr>
              <w:spacing w:after="0" w:line="240" w:lineRule="auto"/>
              <w:jc w:val="center"/>
              <w:rPr>
                <w:sz w:val="26"/>
                <w:szCs w:val="26"/>
              </w:rPr>
            </w:pPr>
            <w:r w:rsidRPr="00B2624E">
              <w:rPr>
                <w:sz w:val="26"/>
                <w:szCs w:val="26"/>
              </w:rPr>
              <w:t>9</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ИЛ ООО «МСЦ»</w:t>
            </w:r>
          </w:p>
        </w:tc>
        <w:tc>
          <w:tcPr>
            <w:tcW w:w="0" w:type="auto"/>
            <w:vAlign w:val="center"/>
            <w:hideMark/>
          </w:tcPr>
          <w:p w:rsidR="005F5047" w:rsidRPr="00B2624E" w:rsidRDefault="005F5047" w:rsidP="00752E5B">
            <w:pPr>
              <w:spacing w:after="0" w:line="240" w:lineRule="auto"/>
              <w:rPr>
                <w:sz w:val="26"/>
                <w:szCs w:val="26"/>
              </w:rPr>
            </w:pPr>
            <w:r>
              <w:rPr>
                <w:sz w:val="26"/>
                <w:szCs w:val="26"/>
              </w:rPr>
              <w:t>127238, РОССИЯ, г.</w:t>
            </w:r>
            <w:r w:rsidRPr="00B2624E">
              <w:rPr>
                <w:sz w:val="26"/>
                <w:szCs w:val="26"/>
              </w:rPr>
              <w:t xml:space="preserve"> Москва, Дмитровское</w:t>
            </w:r>
            <w:r>
              <w:rPr>
                <w:sz w:val="26"/>
                <w:szCs w:val="26"/>
              </w:rPr>
              <w:t xml:space="preserve"> ш.</w:t>
            </w:r>
            <w:r w:rsidRPr="00B2624E">
              <w:rPr>
                <w:sz w:val="26"/>
                <w:szCs w:val="26"/>
              </w:rPr>
              <w:t>, дом 59 корпус 1, этаж</w:t>
            </w:r>
            <w:r>
              <w:rPr>
                <w:sz w:val="26"/>
                <w:szCs w:val="26"/>
              </w:rPr>
              <w:t> </w:t>
            </w:r>
            <w:r w:rsidRPr="00B2624E">
              <w:rPr>
                <w:sz w:val="26"/>
                <w:szCs w:val="26"/>
              </w:rPr>
              <w:t>2, помещение 1,</w:t>
            </w:r>
            <w:r>
              <w:rPr>
                <w:sz w:val="26"/>
                <w:szCs w:val="26"/>
              </w:rPr>
              <w:br/>
            </w:r>
            <w:r w:rsidRPr="00B2624E">
              <w:rPr>
                <w:sz w:val="26"/>
                <w:szCs w:val="26"/>
              </w:rPr>
              <w:t>комнаты №№ 2, 3, 5, 15, 20, 24</w:t>
            </w:r>
            <w:r w:rsidRPr="00B2624E">
              <w:rPr>
                <w:sz w:val="26"/>
                <w:szCs w:val="26"/>
              </w:rPr>
              <w:br/>
            </w:r>
            <w:hyperlink r:id="rId17" w:history="1">
              <w:r w:rsidRPr="00B2624E">
                <w:rPr>
                  <w:rStyle w:val="a4"/>
                  <w:sz w:val="26"/>
                  <w:szCs w:val="26"/>
                </w:rPr>
                <w:t>dmitriy@mscmos.ru</w:t>
              </w:r>
            </w:hyperlink>
            <w:r w:rsidRPr="00B2624E">
              <w:rPr>
                <w:sz w:val="26"/>
                <w:szCs w:val="26"/>
              </w:rPr>
              <w:br/>
              <w:t>+7 4959374049</w:t>
            </w:r>
          </w:p>
        </w:tc>
        <w:tc>
          <w:tcPr>
            <w:tcW w:w="0" w:type="auto"/>
            <w:vAlign w:val="center"/>
            <w:hideMark/>
          </w:tcPr>
          <w:p w:rsidR="005F5047" w:rsidRPr="00B2624E" w:rsidRDefault="005F5047" w:rsidP="00752E5B">
            <w:pPr>
              <w:spacing w:after="0" w:line="240" w:lineRule="auto"/>
              <w:rPr>
                <w:sz w:val="26"/>
                <w:szCs w:val="26"/>
              </w:rPr>
            </w:pPr>
            <w:r w:rsidRPr="00B2624E">
              <w:rPr>
                <w:sz w:val="26"/>
                <w:szCs w:val="26"/>
              </w:rPr>
              <w:t>RA.RU.21МЦ02</w:t>
            </w:r>
          </w:p>
        </w:tc>
      </w:tr>
    </w:tbl>
    <w:p w:rsidR="008F7154" w:rsidRPr="005F5047" w:rsidRDefault="001B6DCC" w:rsidP="005F5047">
      <w:pPr>
        <w:shd w:val="clear" w:color="auto" w:fill="FFFFFF"/>
        <w:spacing w:after="150" w:line="240" w:lineRule="auto"/>
        <w:rPr>
          <w:rFonts w:ascii="Verdana" w:eastAsia="Times New Roman" w:hAnsi="Verdana" w:cs="Times New Roman"/>
          <w:color w:val="000000"/>
          <w:sz w:val="17"/>
          <w:szCs w:val="17"/>
          <w:lang w:eastAsia="ru-RU"/>
        </w:rPr>
      </w:pPr>
      <w:r w:rsidRPr="001B6DCC">
        <w:rPr>
          <w:rFonts w:ascii="Verdana" w:eastAsia="Times New Roman" w:hAnsi="Verdana" w:cs="Times New Roman"/>
          <w:color w:val="000000"/>
          <w:sz w:val="18"/>
          <w:szCs w:val="18"/>
          <w:lang w:eastAsia="ru-RU"/>
        </w:rPr>
        <w:t> </w:t>
      </w:r>
    </w:p>
    <w:sectPr w:rsidR="008F7154" w:rsidRPr="005F50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C92" w:rsidRDefault="003A7C92" w:rsidP="008F7154">
      <w:pPr>
        <w:spacing w:after="0" w:line="240" w:lineRule="auto"/>
      </w:pPr>
      <w:r>
        <w:separator/>
      </w:r>
    </w:p>
  </w:endnote>
  <w:endnote w:type="continuationSeparator" w:id="0">
    <w:p w:rsidR="003A7C92" w:rsidRDefault="003A7C92" w:rsidP="008F7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C92" w:rsidRDefault="003A7C92" w:rsidP="008F7154">
      <w:pPr>
        <w:spacing w:after="0" w:line="240" w:lineRule="auto"/>
      </w:pPr>
      <w:r>
        <w:separator/>
      </w:r>
    </w:p>
  </w:footnote>
  <w:footnote w:type="continuationSeparator" w:id="0">
    <w:p w:rsidR="003A7C92" w:rsidRDefault="003A7C92" w:rsidP="008F7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7523"/>
    <w:multiLevelType w:val="multilevel"/>
    <w:tmpl w:val="07E6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C030A1"/>
    <w:multiLevelType w:val="multilevel"/>
    <w:tmpl w:val="8FF0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C4693C"/>
    <w:multiLevelType w:val="hybridMultilevel"/>
    <w:tmpl w:val="63ECB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007C94"/>
    <w:multiLevelType w:val="multilevel"/>
    <w:tmpl w:val="0188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5E6F4C"/>
    <w:multiLevelType w:val="multilevel"/>
    <w:tmpl w:val="10C2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B82B7A"/>
    <w:multiLevelType w:val="multilevel"/>
    <w:tmpl w:val="303C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BA26BC"/>
    <w:multiLevelType w:val="hybridMultilevel"/>
    <w:tmpl w:val="9D8C7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AE78E3"/>
    <w:multiLevelType w:val="multilevel"/>
    <w:tmpl w:val="B93C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545948"/>
    <w:multiLevelType w:val="multilevel"/>
    <w:tmpl w:val="CC28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76B07"/>
    <w:multiLevelType w:val="multilevel"/>
    <w:tmpl w:val="8F2ABA8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0" w15:restartNumberingAfterBreak="0">
    <w:nsid w:val="4AEF7505"/>
    <w:multiLevelType w:val="multilevel"/>
    <w:tmpl w:val="43B8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39223F"/>
    <w:multiLevelType w:val="multilevel"/>
    <w:tmpl w:val="2A38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4E3D0D"/>
    <w:multiLevelType w:val="hybridMultilevel"/>
    <w:tmpl w:val="4D005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B44BC6"/>
    <w:multiLevelType w:val="multilevel"/>
    <w:tmpl w:val="3F3A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E62DCE"/>
    <w:multiLevelType w:val="multilevel"/>
    <w:tmpl w:val="D642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B72D69"/>
    <w:multiLevelType w:val="multilevel"/>
    <w:tmpl w:val="9F22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2"/>
  </w:num>
  <w:num w:numId="3">
    <w:abstractNumId w:val="2"/>
  </w:num>
  <w:num w:numId="4">
    <w:abstractNumId w:val="8"/>
  </w:num>
  <w:num w:numId="5">
    <w:abstractNumId w:val="9"/>
  </w:num>
  <w:num w:numId="6">
    <w:abstractNumId w:val="5"/>
  </w:num>
  <w:num w:numId="7">
    <w:abstractNumId w:val="4"/>
  </w:num>
  <w:num w:numId="8">
    <w:abstractNumId w:val="0"/>
  </w:num>
  <w:num w:numId="9">
    <w:abstractNumId w:val="3"/>
  </w:num>
  <w:num w:numId="10">
    <w:abstractNumId w:val="1"/>
  </w:num>
  <w:num w:numId="11">
    <w:abstractNumId w:val="13"/>
  </w:num>
  <w:num w:numId="12">
    <w:abstractNumId w:val="7"/>
  </w:num>
  <w:num w:numId="13">
    <w:abstractNumId w:val="11"/>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DCC"/>
    <w:rsid w:val="00004D33"/>
    <w:rsid w:val="00016012"/>
    <w:rsid w:val="00017C1E"/>
    <w:rsid w:val="0003745F"/>
    <w:rsid w:val="000C6845"/>
    <w:rsid w:val="001B6DCC"/>
    <w:rsid w:val="002877F9"/>
    <w:rsid w:val="003A7C92"/>
    <w:rsid w:val="003D237A"/>
    <w:rsid w:val="005F0A9B"/>
    <w:rsid w:val="005F5047"/>
    <w:rsid w:val="00736DE5"/>
    <w:rsid w:val="007F0026"/>
    <w:rsid w:val="00814C71"/>
    <w:rsid w:val="008B2CAC"/>
    <w:rsid w:val="008F7154"/>
    <w:rsid w:val="00A91088"/>
    <w:rsid w:val="00A96825"/>
    <w:rsid w:val="00B84A5C"/>
    <w:rsid w:val="00DE6AED"/>
    <w:rsid w:val="00EA2EDB"/>
    <w:rsid w:val="00FB3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49F7"/>
  <w15:chartTrackingRefBased/>
  <w15:docId w15:val="{D6BA4535-8FD6-420D-A2AD-018E4AB4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736D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6DCC"/>
    <w:pPr>
      <w:ind w:left="720"/>
      <w:contextualSpacing/>
    </w:pPr>
  </w:style>
  <w:style w:type="character" w:customStyle="1" w:styleId="10">
    <w:name w:val="Заголовок 1 Знак"/>
    <w:basedOn w:val="a0"/>
    <w:link w:val="1"/>
    <w:uiPriority w:val="9"/>
    <w:rsid w:val="00736DE5"/>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736DE5"/>
    <w:rPr>
      <w:color w:val="0000FF"/>
      <w:u w:val="single"/>
    </w:rPr>
  </w:style>
  <w:style w:type="paragraph" w:styleId="a5">
    <w:name w:val="Normal (Web)"/>
    <w:basedOn w:val="a"/>
    <w:uiPriority w:val="99"/>
    <w:unhideWhenUsed/>
    <w:rsid w:val="00736D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F71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F7154"/>
  </w:style>
  <w:style w:type="paragraph" w:styleId="a8">
    <w:name w:val="footer"/>
    <w:basedOn w:val="a"/>
    <w:link w:val="a9"/>
    <w:uiPriority w:val="99"/>
    <w:unhideWhenUsed/>
    <w:rsid w:val="008F71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F7154"/>
  </w:style>
  <w:style w:type="paragraph" w:customStyle="1" w:styleId="ConsPlusNormal">
    <w:name w:val="ConsPlusNormal"/>
    <w:link w:val="ConsPlusNormal0"/>
    <w:rsid w:val="008F715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8F7154"/>
    <w:rPr>
      <w:rFonts w:ascii="Arial" w:eastAsia="Times New Roman" w:hAnsi="Arial" w:cs="Arial"/>
      <w:sz w:val="20"/>
      <w:szCs w:val="20"/>
      <w:lang w:eastAsia="ru-RU"/>
    </w:rPr>
  </w:style>
  <w:style w:type="character" w:customStyle="1" w:styleId="aa">
    <w:name w:val="Без интервала Знак"/>
    <w:link w:val="ab"/>
    <w:uiPriority w:val="1"/>
    <w:locked/>
    <w:rsid w:val="008F7154"/>
  </w:style>
  <w:style w:type="paragraph" w:styleId="ab">
    <w:name w:val="No Spacing"/>
    <w:link w:val="aa"/>
    <w:uiPriority w:val="1"/>
    <w:qFormat/>
    <w:rsid w:val="008F71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6986">
      <w:bodyDiv w:val="1"/>
      <w:marLeft w:val="0"/>
      <w:marRight w:val="0"/>
      <w:marTop w:val="0"/>
      <w:marBottom w:val="0"/>
      <w:divBdr>
        <w:top w:val="none" w:sz="0" w:space="0" w:color="auto"/>
        <w:left w:val="none" w:sz="0" w:space="0" w:color="auto"/>
        <w:bottom w:val="none" w:sz="0" w:space="0" w:color="auto"/>
        <w:right w:val="none" w:sz="0" w:space="0" w:color="auto"/>
      </w:divBdr>
    </w:div>
    <w:div w:id="1073159754">
      <w:bodyDiv w:val="1"/>
      <w:marLeft w:val="0"/>
      <w:marRight w:val="0"/>
      <w:marTop w:val="0"/>
      <w:marBottom w:val="0"/>
      <w:divBdr>
        <w:top w:val="none" w:sz="0" w:space="0" w:color="auto"/>
        <w:left w:val="none" w:sz="0" w:space="0" w:color="auto"/>
        <w:bottom w:val="none" w:sz="0" w:space="0" w:color="auto"/>
        <w:right w:val="none" w:sz="0" w:space="0" w:color="auto"/>
      </w:divBdr>
      <w:divsChild>
        <w:div w:id="740101353">
          <w:marLeft w:val="0"/>
          <w:marRight w:val="0"/>
          <w:marTop w:val="0"/>
          <w:marBottom w:val="0"/>
          <w:divBdr>
            <w:top w:val="none" w:sz="0" w:space="0" w:color="auto"/>
            <w:left w:val="none" w:sz="0" w:space="0" w:color="auto"/>
            <w:bottom w:val="none" w:sz="0" w:space="0" w:color="auto"/>
            <w:right w:val="none" w:sz="0" w:space="0" w:color="auto"/>
          </w:divBdr>
        </w:div>
        <w:div w:id="22440799">
          <w:marLeft w:val="0"/>
          <w:marRight w:val="0"/>
          <w:marTop w:val="0"/>
          <w:marBottom w:val="0"/>
          <w:divBdr>
            <w:top w:val="none" w:sz="0" w:space="0" w:color="auto"/>
            <w:left w:val="none" w:sz="0" w:space="0" w:color="auto"/>
            <w:bottom w:val="none" w:sz="0" w:space="0" w:color="auto"/>
            <w:right w:val="none" w:sz="0" w:space="0" w:color="auto"/>
          </w:divBdr>
          <w:divsChild>
            <w:div w:id="758214322">
              <w:marLeft w:val="0"/>
              <w:marRight w:val="0"/>
              <w:marTop w:val="0"/>
              <w:marBottom w:val="0"/>
              <w:divBdr>
                <w:top w:val="none" w:sz="0" w:space="0" w:color="auto"/>
                <w:left w:val="none" w:sz="0" w:space="0" w:color="auto"/>
                <w:bottom w:val="none" w:sz="0" w:space="0" w:color="auto"/>
                <w:right w:val="none" w:sz="0" w:space="0" w:color="auto"/>
              </w:divBdr>
            </w:div>
            <w:div w:id="21344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89296">
      <w:bodyDiv w:val="1"/>
      <w:marLeft w:val="0"/>
      <w:marRight w:val="0"/>
      <w:marTop w:val="0"/>
      <w:marBottom w:val="0"/>
      <w:divBdr>
        <w:top w:val="none" w:sz="0" w:space="0" w:color="auto"/>
        <w:left w:val="none" w:sz="0" w:space="0" w:color="auto"/>
        <w:bottom w:val="none" w:sz="0" w:space="0" w:color="auto"/>
        <w:right w:val="none" w:sz="0" w:space="0" w:color="auto"/>
      </w:divBdr>
    </w:div>
    <w:div w:id="1627200852">
      <w:bodyDiv w:val="1"/>
      <w:marLeft w:val="0"/>
      <w:marRight w:val="0"/>
      <w:marTop w:val="0"/>
      <w:marBottom w:val="0"/>
      <w:divBdr>
        <w:top w:val="none" w:sz="0" w:space="0" w:color="auto"/>
        <w:left w:val="none" w:sz="0" w:space="0" w:color="auto"/>
        <w:bottom w:val="none" w:sz="0" w:space="0" w:color="auto"/>
        <w:right w:val="none" w:sz="0" w:space="0" w:color="auto"/>
      </w:divBdr>
    </w:div>
    <w:div w:id="1728605071">
      <w:bodyDiv w:val="1"/>
      <w:marLeft w:val="0"/>
      <w:marRight w:val="0"/>
      <w:marTop w:val="0"/>
      <w:marBottom w:val="0"/>
      <w:divBdr>
        <w:top w:val="none" w:sz="0" w:space="0" w:color="auto"/>
        <w:left w:val="none" w:sz="0" w:space="0" w:color="auto"/>
        <w:bottom w:val="none" w:sz="0" w:space="0" w:color="auto"/>
        <w:right w:val="none" w:sz="0" w:space="0" w:color="auto"/>
      </w:divBdr>
      <w:divsChild>
        <w:div w:id="22677109">
          <w:marLeft w:val="0"/>
          <w:marRight w:val="0"/>
          <w:marTop w:val="0"/>
          <w:marBottom w:val="0"/>
          <w:divBdr>
            <w:top w:val="none" w:sz="0" w:space="0" w:color="auto"/>
            <w:left w:val="none" w:sz="0" w:space="0" w:color="auto"/>
            <w:bottom w:val="none" w:sz="0" w:space="0" w:color="auto"/>
            <w:right w:val="none" w:sz="0" w:space="0" w:color="auto"/>
          </w:divBdr>
        </w:div>
        <w:div w:id="1223322277">
          <w:marLeft w:val="0"/>
          <w:marRight w:val="0"/>
          <w:marTop w:val="0"/>
          <w:marBottom w:val="0"/>
          <w:divBdr>
            <w:top w:val="none" w:sz="0" w:space="0" w:color="auto"/>
            <w:left w:val="none" w:sz="0" w:space="0" w:color="auto"/>
            <w:bottom w:val="none" w:sz="0" w:space="0" w:color="auto"/>
            <w:right w:val="none" w:sz="0" w:space="0" w:color="auto"/>
          </w:divBdr>
        </w:div>
      </w:divsChild>
    </w:div>
    <w:div w:id="182369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fsa.gov.ru/ral" TargetMode="External"/><Relationship Id="rId13" Type="http://schemas.openxmlformats.org/officeDocument/2006/relationships/hyperlink" Target="mailto:ec@marstar.spb.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tn24.krskstate.ru/dat/File/47/Soglasie%20na%20obrabotku%20personalnih%20dannih.pdf" TargetMode="External"/><Relationship Id="rId12" Type="http://schemas.openxmlformats.org/officeDocument/2006/relationships/hyperlink" Target="mailto:info_tc@prommashtest.ru" TargetMode="External"/><Relationship Id="rId17" Type="http://schemas.openxmlformats.org/officeDocument/2006/relationships/hyperlink" Target="mailto:dmitriy@mscmos.ru" TargetMode="External"/><Relationship Id="rId2" Type="http://schemas.openxmlformats.org/officeDocument/2006/relationships/styles" Target="styles.xml"/><Relationship Id="rId16" Type="http://schemas.openxmlformats.org/officeDocument/2006/relationships/hyperlink" Target="mailto:tedeks@yandex.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lat2004@mail.ru" TargetMode="External"/><Relationship Id="rId5" Type="http://schemas.openxmlformats.org/officeDocument/2006/relationships/footnotes" Target="footnotes.xml"/><Relationship Id="rId15" Type="http://schemas.openxmlformats.org/officeDocument/2006/relationships/hyperlink" Target="mailto:v.lapaev@inbox.ru" TargetMode="External"/><Relationship Id="rId10" Type="http://schemas.openxmlformats.org/officeDocument/2006/relationships/hyperlink" Target="mailto:diamet@mail.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prix@rambler.ru" TargetMode="External"/><Relationship Id="rId14" Type="http://schemas.openxmlformats.org/officeDocument/2006/relationships/hyperlink" Target="mailto:e330331@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1038</TotalTime>
  <Pages>6</Pages>
  <Words>2516</Words>
  <Characters>14347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Zakari</dc:creator>
  <cp:keywords/>
  <dc:description/>
  <cp:lastModifiedBy>DIGMA</cp:lastModifiedBy>
  <cp:revision>8</cp:revision>
  <dcterms:created xsi:type="dcterms:W3CDTF">2023-10-26T11:58:00Z</dcterms:created>
  <dcterms:modified xsi:type="dcterms:W3CDTF">2026-02-20T07:01:00Z</dcterms:modified>
</cp:coreProperties>
</file>